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C204E" w14:textId="682572E6" w:rsidR="00163AE6" w:rsidRPr="003C4C81" w:rsidRDefault="000D370D" w:rsidP="00163AE6">
      <w:pPr>
        <w:pStyle w:val="3GPPHeader"/>
        <w:spacing w:after="60"/>
        <w:rPr>
          <w:lang w:val="de-DE"/>
        </w:rPr>
      </w:pPr>
      <w:r>
        <w:rPr>
          <w:lang w:val="de-DE"/>
        </w:rPr>
        <w:t>3GPP TSG-RAN WG2 #98-AH</w:t>
      </w:r>
      <w:r w:rsidR="00163AE6" w:rsidRPr="003C4C81">
        <w:rPr>
          <w:lang w:val="de-DE"/>
        </w:rPr>
        <w:tab/>
        <w:t xml:space="preserve">Tdoc </w:t>
      </w:r>
      <w:r w:rsidR="00512EAE" w:rsidRPr="00512EAE">
        <w:rPr>
          <w:lang w:val="de-DE"/>
        </w:rPr>
        <w:t>R2-1707275</w:t>
      </w:r>
    </w:p>
    <w:p w14:paraId="37703138" w14:textId="02415F1B" w:rsidR="00163AE6" w:rsidRPr="00D70E29" w:rsidRDefault="000D370D" w:rsidP="00163AE6">
      <w:pPr>
        <w:pStyle w:val="3GPPHeader"/>
        <w:spacing w:after="60"/>
        <w:rPr>
          <w:b w:val="0"/>
          <w:noProof/>
        </w:rPr>
      </w:pPr>
      <w:r w:rsidRPr="00631CA0">
        <w:t>Qingdao, P.R. of China, 27</w:t>
      </w:r>
      <w:r w:rsidRPr="00631CA0">
        <w:rPr>
          <w:vertAlign w:val="superscript"/>
        </w:rPr>
        <w:t>th</w:t>
      </w:r>
      <w:r>
        <w:t xml:space="preserve"> </w:t>
      </w:r>
      <w:r w:rsidRPr="00631CA0">
        <w:t>– 29</w:t>
      </w:r>
      <w:r w:rsidRPr="00631CA0">
        <w:rPr>
          <w:vertAlign w:val="superscript"/>
        </w:rPr>
        <w:t>th</w:t>
      </w:r>
      <w:r>
        <w:t xml:space="preserve"> </w:t>
      </w:r>
      <w:r w:rsidRPr="00631CA0">
        <w:t>June 2017</w:t>
      </w:r>
      <w:r w:rsidR="00163AE6">
        <w:rPr>
          <w:lang w:val="en-US"/>
        </w:rPr>
        <w:tab/>
      </w:r>
      <w:r w:rsidR="00163AE6" w:rsidRPr="00EB2866">
        <w:rPr>
          <w:b w:val="0"/>
          <w:sz w:val="18"/>
          <w:lang w:val="en-US"/>
        </w:rPr>
        <w:t>(</w:t>
      </w:r>
      <w:r w:rsidR="001E46CA" w:rsidRPr="00EB2866">
        <w:rPr>
          <w:b w:val="0"/>
          <w:sz w:val="18"/>
          <w:lang w:val="en-US"/>
        </w:rPr>
        <w:t>Resubmission</w:t>
      </w:r>
      <w:r w:rsidR="00163AE6" w:rsidRPr="00EB2866">
        <w:rPr>
          <w:b w:val="0"/>
          <w:sz w:val="18"/>
          <w:lang w:val="en-US"/>
        </w:rPr>
        <w:t xml:space="preserve"> of</w:t>
      </w:r>
      <w:r w:rsidR="00786DD1" w:rsidRPr="00EB2866">
        <w:rPr>
          <w:b w:val="0"/>
          <w:sz w:val="18"/>
          <w:lang w:val="en-US"/>
        </w:rPr>
        <w:t xml:space="preserve"> </w:t>
      </w:r>
      <w:hyperlink r:id="rId13" w:history="1">
        <w:r w:rsidR="00786DD1" w:rsidRPr="009B5DD7">
          <w:rPr>
            <w:rStyle w:val="Hyperlink"/>
            <w:sz w:val="18"/>
            <w:lang w:val="en-US"/>
          </w:rPr>
          <w:t>R2-</w:t>
        </w:r>
        <w:r w:rsidR="009B5DD7" w:rsidRPr="009B5DD7">
          <w:rPr>
            <w:rStyle w:val="Hyperlink"/>
            <w:sz w:val="18"/>
            <w:lang w:val="en-US"/>
          </w:rPr>
          <w:t>1704087</w:t>
        </w:r>
      </w:hyperlink>
      <w:r w:rsidR="00163AE6" w:rsidRPr="00EB2866">
        <w:rPr>
          <w:b w:val="0"/>
          <w:sz w:val="18"/>
          <w:lang w:val="en-US"/>
        </w:rPr>
        <w:t>)</w:t>
      </w:r>
    </w:p>
    <w:p w14:paraId="56C12257" w14:textId="265D7A17" w:rsidR="00E90E49" w:rsidRPr="00CE0424" w:rsidRDefault="009B5DD7" w:rsidP="00357380">
      <w:pPr>
        <w:pStyle w:val="3GPPHeader"/>
      </w:pPr>
      <w:r>
        <w:tab/>
      </w:r>
      <w:r>
        <w:tab/>
      </w:r>
    </w:p>
    <w:p w14:paraId="4A4F422A" w14:textId="05F3CBF7" w:rsidR="00E90E49" w:rsidRPr="009F0A5A" w:rsidRDefault="00E90E49" w:rsidP="00311702">
      <w:pPr>
        <w:pStyle w:val="3GPPHeader"/>
        <w:rPr>
          <w:sz w:val="22"/>
          <w:szCs w:val="22"/>
          <w:lang w:val="en-US"/>
        </w:rPr>
      </w:pPr>
      <w:r w:rsidRPr="009F0A5A">
        <w:rPr>
          <w:sz w:val="22"/>
          <w:szCs w:val="22"/>
          <w:lang w:val="en-US"/>
        </w:rPr>
        <w:t>Agenda Item:</w:t>
      </w:r>
      <w:r w:rsidRPr="009F0A5A">
        <w:rPr>
          <w:sz w:val="22"/>
          <w:szCs w:val="22"/>
          <w:lang w:val="en-US"/>
        </w:rPr>
        <w:tab/>
      </w:r>
      <w:r w:rsidR="001140DC" w:rsidRPr="00180CF8">
        <w:rPr>
          <w:sz w:val="22"/>
          <w:szCs w:val="22"/>
          <w:lang w:val="en-US"/>
        </w:rPr>
        <w:t>10.2.</w:t>
      </w:r>
      <w:r w:rsidR="005575AC">
        <w:rPr>
          <w:sz w:val="22"/>
          <w:szCs w:val="22"/>
          <w:lang w:val="en-US"/>
        </w:rPr>
        <w:t>8</w:t>
      </w:r>
      <w:r w:rsidR="001140DC">
        <w:rPr>
          <w:sz w:val="22"/>
          <w:szCs w:val="22"/>
          <w:lang w:val="en-US"/>
        </w:rPr>
        <w:t xml:space="preserve"> – NR – Stage-2 – </w:t>
      </w:r>
      <w:r w:rsidR="001140DC" w:rsidRPr="00180CF8">
        <w:rPr>
          <w:sz w:val="22"/>
          <w:szCs w:val="22"/>
          <w:lang w:val="en-US"/>
        </w:rPr>
        <w:t>Mobility</w:t>
      </w:r>
      <w:r w:rsidR="001140DC">
        <w:rPr>
          <w:sz w:val="22"/>
          <w:szCs w:val="22"/>
          <w:lang w:val="en-US"/>
        </w:rPr>
        <w:t xml:space="preserve"> </w:t>
      </w:r>
      <w:r w:rsidR="005575AC">
        <w:rPr>
          <w:sz w:val="22"/>
          <w:szCs w:val="22"/>
          <w:lang w:val="en-US"/>
        </w:rPr>
        <w:t xml:space="preserve">– Other </w:t>
      </w:r>
    </w:p>
    <w:p w14:paraId="5DAA27F0" w14:textId="6ACCF14F"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F052FD">
        <w:rPr>
          <w:sz w:val="22"/>
          <w:szCs w:val="22"/>
        </w:rPr>
        <w:t>, Qualcomm</w:t>
      </w:r>
      <w:r w:rsidR="00E847C5">
        <w:rPr>
          <w:sz w:val="22"/>
          <w:szCs w:val="22"/>
        </w:rPr>
        <w:t xml:space="preserve">, </w:t>
      </w:r>
      <w:r w:rsidR="00E847C5" w:rsidRPr="00E847C5">
        <w:rPr>
          <w:sz w:val="22"/>
          <w:szCs w:val="22"/>
        </w:rPr>
        <w:t>AT&amp;T, KDDI</w:t>
      </w:r>
      <w:r w:rsidR="00E847C5">
        <w:rPr>
          <w:sz w:val="22"/>
          <w:szCs w:val="22"/>
        </w:rPr>
        <w:t>,</w:t>
      </w:r>
      <w:r w:rsidR="00E847C5" w:rsidRPr="00E847C5">
        <w:rPr>
          <w:sz w:val="22"/>
          <w:szCs w:val="22"/>
        </w:rPr>
        <w:t xml:space="preserve"> </w:t>
      </w:r>
      <w:r w:rsidR="00476252" w:rsidRPr="00476252">
        <w:rPr>
          <w:sz w:val="22"/>
          <w:szCs w:val="22"/>
        </w:rPr>
        <w:t>KT Corporation</w:t>
      </w:r>
    </w:p>
    <w:p w14:paraId="63CB047E" w14:textId="14DA7F15" w:rsidR="00E90E49" w:rsidRPr="00CE0424" w:rsidRDefault="003D3C45" w:rsidP="00311702">
      <w:pPr>
        <w:pStyle w:val="3GPPHeader"/>
        <w:rPr>
          <w:sz w:val="22"/>
          <w:szCs w:val="22"/>
        </w:rPr>
      </w:pPr>
      <w:r>
        <w:rPr>
          <w:sz w:val="22"/>
          <w:szCs w:val="22"/>
        </w:rPr>
        <w:t>Title:</w:t>
      </w:r>
      <w:r w:rsidR="00E90E49" w:rsidRPr="00CE0424">
        <w:rPr>
          <w:sz w:val="22"/>
          <w:szCs w:val="22"/>
        </w:rPr>
        <w:tab/>
      </w:r>
      <w:r w:rsidR="00FD6EE4">
        <w:rPr>
          <w:sz w:val="22"/>
          <w:szCs w:val="22"/>
        </w:rPr>
        <w:t>Conditional Handover</w:t>
      </w:r>
    </w:p>
    <w:p w14:paraId="65935703" w14:textId="442AEEC5" w:rsidR="00E90E49" w:rsidRPr="00F052FD" w:rsidRDefault="00E90E49" w:rsidP="00F052FD">
      <w:pPr>
        <w:pStyle w:val="3GPPHeader"/>
        <w:rPr>
          <w:sz w:val="22"/>
          <w:szCs w:val="22"/>
        </w:rPr>
      </w:pPr>
      <w:r w:rsidRPr="00CE0424">
        <w:rPr>
          <w:sz w:val="22"/>
          <w:szCs w:val="22"/>
        </w:rPr>
        <w:t>Document for:</w:t>
      </w:r>
      <w:r w:rsidRPr="00CE0424">
        <w:rPr>
          <w:sz w:val="22"/>
          <w:szCs w:val="22"/>
        </w:rPr>
        <w:tab/>
      </w:r>
      <w:r w:rsidRPr="00FD6EE4">
        <w:rPr>
          <w:sz w:val="22"/>
          <w:szCs w:val="22"/>
        </w:rPr>
        <w:t>Discussion, Decision</w:t>
      </w:r>
    </w:p>
    <w:p w14:paraId="607E06CC" w14:textId="77777777" w:rsidR="00E90E49" w:rsidRPr="00CE0424" w:rsidRDefault="00E90E49" w:rsidP="00CE0424">
      <w:pPr>
        <w:pStyle w:val="Heading1"/>
      </w:pPr>
      <w:bookmarkStart w:id="0" w:name="_Ref471484523"/>
      <w:r w:rsidRPr="00CE0424">
        <w:t>Introduction</w:t>
      </w:r>
      <w:bookmarkEnd w:id="0"/>
    </w:p>
    <w:p w14:paraId="6334941A" w14:textId="77776C49" w:rsidR="00853878" w:rsidRDefault="00853878" w:rsidP="00CE0424">
      <w:pPr>
        <w:pStyle w:val="BodyText"/>
      </w:pPr>
      <w:r>
        <w:t>RAN2-9</w:t>
      </w:r>
      <w:r w:rsidR="00E25A33">
        <w:t>7</w:t>
      </w:r>
      <w:r>
        <w:t xml:space="preserve"> </w:t>
      </w:r>
      <w:r w:rsidR="00E25A33">
        <w:t xml:space="preserve">discussed based on </w:t>
      </w:r>
      <w:r w:rsidR="00E25A33">
        <w:fldChar w:fldCharType="begin"/>
      </w:r>
      <w:r w:rsidR="00E25A33">
        <w:instrText xml:space="preserve"> REF _Ref477726095 \n \h </w:instrText>
      </w:r>
      <w:r w:rsidR="00E25A33">
        <w:fldChar w:fldCharType="separate"/>
      </w:r>
      <w:r w:rsidR="00A120F2">
        <w:t>[1]</w:t>
      </w:r>
      <w:r w:rsidR="00E25A33">
        <w:fldChar w:fldCharType="end"/>
      </w:r>
      <w:r w:rsidR="00E25A33">
        <w:t xml:space="preserve"> </w:t>
      </w:r>
      <w:r>
        <w:t xml:space="preserve">whether NR should support a “conditional handover” to reduce the handover failures compared to LTE. </w:t>
      </w:r>
      <w:r w:rsidR="00A120F2">
        <w:t xml:space="preserve">Most companies supported the proposal but a final decision was not taken. In this </w:t>
      </w:r>
      <w:r w:rsidR="00054F93">
        <w:t>revision,</w:t>
      </w:r>
      <w:r w:rsidR="00A120F2">
        <w:t xml:space="preserve"> we try to address the concerns that were raised in the previous meeting. </w:t>
      </w:r>
    </w:p>
    <w:p w14:paraId="65C69124" w14:textId="5DF55570" w:rsidR="00A120F2" w:rsidRPr="00CE0424" w:rsidRDefault="00A120F2" w:rsidP="00CE0424">
      <w:pPr>
        <w:pStyle w:val="BodyText"/>
      </w:pPr>
      <w:r>
        <w:t>We would also like to point out that the solution described in this paper is different from other solutions that intend to accelerate a handover failure. The “conditional handover” described herein and discussed in the previous meeting intend to avoid such handover failures in the first place.</w:t>
      </w:r>
    </w:p>
    <w:p w14:paraId="363663C8" w14:textId="77777777" w:rsidR="00A120F2" w:rsidRDefault="00A120F2" w:rsidP="00A120F2">
      <w:pPr>
        <w:pStyle w:val="Heading1"/>
      </w:pPr>
      <w:bookmarkStart w:id="1" w:name="_Ref477972447"/>
      <w:r w:rsidRPr="00CE0424">
        <w:t>Discussion</w:t>
      </w:r>
      <w:bookmarkEnd w:id="1"/>
    </w:p>
    <w:p w14:paraId="7035B084" w14:textId="20A150E5" w:rsidR="006153EA" w:rsidRPr="00DE4EA4" w:rsidRDefault="00CF0A77" w:rsidP="006153EA">
      <w:r>
        <w:t xml:space="preserve">In earlier mobility studies for LTE, </w:t>
      </w:r>
      <w:r w:rsidR="006153EA">
        <w:t xml:space="preserve">RAN2 observed that the serving cell may not be able to convey the handover command </w:t>
      </w:r>
      <w:r w:rsidR="00732C0D">
        <w:t xml:space="preserve">timely. Lowering the </w:t>
      </w:r>
      <w:r>
        <w:t>time-to-trigger (</w:t>
      </w:r>
      <w:r w:rsidR="00732C0D">
        <w:t>TTT</w:t>
      </w:r>
      <w:r>
        <w:t>)</w:t>
      </w:r>
      <w:r w:rsidR="00732C0D">
        <w:t xml:space="preserve"> and the measurement hysteresis allowed to reduce the handover failure rate but also resulted in higher ping-pong probability. We expect that in NR these effects will be even more </w:t>
      </w:r>
      <w:r w:rsidR="00732C0D" w:rsidRPr="00DE4EA4">
        <w:t>pronounced when operating at higher frequency bands.</w:t>
      </w:r>
    </w:p>
    <w:p w14:paraId="56C1990F" w14:textId="77777777" w:rsidR="006153EA" w:rsidRPr="00DE4EA4" w:rsidRDefault="006153EA" w:rsidP="006153EA">
      <w:pPr>
        <w:pStyle w:val="Observation"/>
        <w:numPr>
          <w:ilvl w:val="0"/>
          <w:numId w:val="15"/>
        </w:numPr>
        <w:ind w:left="1701" w:hanging="1701"/>
        <w:textAlignment w:val="auto"/>
        <w:rPr>
          <w:lang w:val="en-US"/>
        </w:rPr>
      </w:pPr>
      <w:bookmarkStart w:id="2" w:name="_Toc461514225"/>
      <w:bookmarkStart w:id="3" w:name="_Toc463000883"/>
      <w:bookmarkStart w:id="4" w:name="_Toc463001397"/>
      <w:bookmarkStart w:id="5" w:name="_Toc463013022"/>
      <w:bookmarkStart w:id="6" w:name="_Toc463030102"/>
      <w:bookmarkStart w:id="7" w:name="_Toc463053252"/>
      <w:bookmarkStart w:id="8" w:name="_Toc463053289"/>
      <w:bookmarkStart w:id="9" w:name="_Toc466011539"/>
      <w:bookmarkStart w:id="10" w:name="_Toc471485785"/>
      <w:bookmarkStart w:id="11" w:name="_Toc471486533"/>
      <w:bookmarkStart w:id="12" w:name="_Toc471492265"/>
      <w:bookmarkStart w:id="13" w:name="_Toc471499740"/>
      <w:bookmarkStart w:id="14" w:name="_Toc471501324"/>
      <w:bookmarkStart w:id="15" w:name="_Toc473532940"/>
      <w:bookmarkStart w:id="16" w:name="_Toc473533018"/>
      <w:bookmarkStart w:id="17" w:name="_Toc473533369"/>
      <w:bookmarkStart w:id="18" w:name="_Toc477726043"/>
      <w:bookmarkStart w:id="19" w:name="_Toc477972465"/>
      <w:bookmarkStart w:id="20" w:name="_Toc477972559"/>
      <w:bookmarkStart w:id="21" w:name="_Toc477973277"/>
      <w:bookmarkStart w:id="22" w:name="_Toc477973290"/>
      <w:r w:rsidRPr="00DE4EA4">
        <w:rPr>
          <w:lang w:val="en-US"/>
        </w:rPr>
        <w:t>In some NR deployments and scenarios, the probability of HO failure could increase due to the dependency on the RRC signaling transmissions over the source node at a time when the UE has already moved into the coverage area of the target cell.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E4EA4">
        <w:rPr>
          <w:lang w:val="en-US"/>
        </w:rPr>
        <w:t xml:space="preserve"> </w:t>
      </w:r>
    </w:p>
    <w:p w14:paraId="629603A7" w14:textId="5456E64F" w:rsidR="006153EA" w:rsidRDefault="006153EA" w:rsidP="006153EA">
      <w:r>
        <w:t>To avoid the undesired dependence on the serving radio link upon the time (and radio conditions) where the UE should execute the handover, NR should offer the possibility to provide that RRC signalling to the UE earlier. To achieve this, it should be possible to associate the HO command with a condition. As soon as the condition is fulfilled, the UE may execute the handover in accordance with the provided handover command.</w:t>
      </w:r>
    </w:p>
    <w:p w14:paraId="3017103C" w14:textId="77777777" w:rsidR="006153EA" w:rsidRDefault="006153EA" w:rsidP="006153EA">
      <w:pPr>
        <w:pStyle w:val="Proposal"/>
      </w:pPr>
      <w:bookmarkStart w:id="23" w:name="_Toc463053253"/>
      <w:bookmarkStart w:id="24" w:name="_Toc463053290"/>
      <w:bookmarkStart w:id="25" w:name="_Toc466011542"/>
      <w:bookmarkStart w:id="26" w:name="_Toc471485786"/>
      <w:bookmarkStart w:id="27" w:name="_Toc471486534"/>
      <w:bookmarkStart w:id="28" w:name="_Toc471492266"/>
      <w:bookmarkStart w:id="29" w:name="_Toc471499741"/>
      <w:bookmarkStart w:id="30" w:name="_Toc471501319"/>
      <w:bookmarkStart w:id="31" w:name="_Toc473532941"/>
      <w:bookmarkStart w:id="32" w:name="_Toc473533019"/>
      <w:bookmarkStart w:id="33" w:name="_Toc473533370"/>
      <w:bookmarkStart w:id="34" w:name="_Toc477726044"/>
      <w:bookmarkStart w:id="35" w:name="_Toc477972469"/>
      <w:bookmarkStart w:id="36" w:name="_Toc477972564"/>
      <w:bookmarkStart w:id="37" w:name="_Toc477973278"/>
      <w:bookmarkStart w:id="38" w:name="_Toc477973291"/>
      <w:r w:rsidRPr="0023432A">
        <w:t xml:space="preserve">NR should offer the possibility to associate the HO command </w:t>
      </w:r>
      <w:r>
        <w:t xml:space="preserve">(RRCConnectionReconfiguration with mobilityControlInfo) </w:t>
      </w:r>
      <w:r w:rsidRPr="0023432A">
        <w:t xml:space="preserve">with a condition. As soon as the </w:t>
      </w:r>
      <w:r>
        <w:t xml:space="preserve">UE determines the </w:t>
      </w:r>
      <w:r w:rsidRPr="0023432A">
        <w:t xml:space="preserve">condition </w:t>
      </w:r>
      <w:r>
        <w:t xml:space="preserve">to be </w:t>
      </w:r>
      <w:r w:rsidRPr="0023432A">
        <w:t xml:space="preserve">fulfilled, </w:t>
      </w:r>
      <w:r>
        <w:t xml:space="preserve">it </w:t>
      </w:r>
      <w:r w:rsidRPr="0023432A">
        <w:t>execute</w:t>
      </w:r>
      <w:r>
        <w:t>s</w:t>
      </w:r>
      <w:r w:rsidRPr="0023432A">
        <w:t xml:space="preserve"> the handover in accordance with the handover command</w:t>
      </w:r>
      <w:r>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FD69D38" w14:textId="366157DC" w:rsidR="006153EA" w:rsidRDefault="006153EA" w:rsidP="006153EA">
      <w:r>
        <w:t xml:space="preserve">Such a condition could e.g. be that the quality of the mobility RS (MRS) of the target cell or beam becomes X dB stronger than the mobility RS (MRS) of the serving cell. The threshold </w:t>
      </w:r>
      <w:r w:rsidR="003E60EB">
        <w:t xml:space="preserve">Y </w:t>
      </w:r>
      <w:r>
        <w:t xml:space="preserve">used in a preceding measurement reporting event should then be chosen lower than the one in the handover execution condition. This allows the serving cell to prepare the handover upon reception of an early measurement report and to provide the </w:t>
      </w:r>
      <w:r w:rsidRPr="003E60EB">
        <w:rPr>
          <w:i/>
        </w:rPr>
        <w:t>RRCConnectionReconfiguration</w:t>
      </w:r>
      <w:r>
        <w:t xml:space="preserve"> with </w:t>
      </w:r>
      <w:r w:rsidRPr="003E60EB">
        <w:rPr>
          <w:i/>
        </w:rPr>
        <w:t>mobilityControlInfo</w:t>
      </w:r>
      <w:r>
        <w:t xml:space="preserve"> at a time when the radio link to the UE is still stable. The execution of the handover is done at a later point in time (and threshold) </w:t>
      </w:r>
      <w:r w:rsidR="003E60EB">
        <w:t>which</w:t>
      </w:r>
      <w:r>
        <w:t xml:space="preserve"> is considered optimal for the handover execution. </w:t>
      </w:r>
    </w:p>
    <w:p w14:paraId="675A5BDC" w14:textId="6FF8B86D" w:rsidR="006153EA" w:rsidRDefault="0031086B" w:rsidP="006153EA">
      <w:pPr>
        <w:pStyle w:val="Figure"/>
      </w:pPr>
      <w:r w:rsidRPr="00EA55DC">
        <w:rPr>
          <w:noProof/>
          <w:lang w:val="en-US" w:eastAsia="en-US"/>
        </w:rPr>
        <w:lastRenderedPageBreak/>
        <mc:AlternateContent>
          <mc:Choice Requires="wpg">
            <w:drawing>
              <wp:inline distT="0" distB="0" distL="0" distR="0" wp14:anchorId="6D97F28D" wp14:editId="33C81B12">
                <wp:extent cx="5287496" cy="4548589"/>
                <wp:effectExtent l="0" t="0" r="27940" b="23495"/>
                <wp:docPr id="75" name="Group 74"/>
                <wp:cNvGraphicFramePr/>
                <a:graphic xmlns:a="http://schemas.openxmlformats.org/drawingml/2006/main">
                  <a:graphicData uri="http://schemas.microsoft.com/office/word/2010/wordprocessingGroup">
                    <wpg:wgp>
                      <wpg:cNvGrpSpPr/>
                      <wpg:grpSpPr>
                        <a:xfrm>
                          <a:off x="0" y="0"/>
                          <a:ext cx="5287496" cy="4548589"/>
                          <a:chOff x="-476175" y="0"/>
                          <a:chExt cx="5287496" cy="4548589"/>
                        </a:xfrm>
                      </wpg:grpSpPr>
                      <wpg:grpSp>
                        <wpg:cNvPr id="2" name="Group 2"/>
                        <wpg:cNvGrpSpPr/>
                        <wpg:grpSpPr>
                          <a:xfrm>
                            <a:off x="0" y="0"/>
                            <a:ext cx="389299" cy="4548589"/>
                            <a:chOff x="0" y="0"/>
                            <a:chExt cx="389299" cy="4548589"/>
                          </a:xfrm>
                        </wpg:grpSpPr>
                        <wps:wsp>
                          <wps:cNvPr id="41" name="Rectangle 41"/>
                          <wps:cNvSpPr/>
                          <wps:spPr>
                            <a:xfrm>
                              <a:off x="0" y="0"/>
                              <a:ext cx="389299" cy="30061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C7F45E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Straight Connector 42"/>
                          <wps:cNvCnPr>
                            <a:cxnSpLocks/>
                            <a:stCxn id="41" idx="2"/>
                          </wps:cNvCnPr>
                          <wps:spPr>
                            <a:xfrm>
                              <a:off x="194650" y="300617"/>
                              <a:ext cx="0" cy="4247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 name="Group 3"/>
                        <wpg:cNvGrpSpPr/>
                        <wpg:grpSpPr>
                          <a:xfrm>
                            <a:off x="2060970" y="0"/>
                            <a:ext cx="711991" cy="4548589"/>
                            <a:chOff x="2060970" y="0"/>
                            <a:chExt cx="711991" cy="4548589"/>
                          </a:xfrm>
                        </wpg:grpSpPr>
                        <wps:wsp>
                          <wps:cNvPr id="39" name="Rectangle 39"/>
                          <wps:cNvSpPr/>
                          <wps:spPr>
                            <a:xfrm>
                              <a:off x="2060970"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344820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Straight Connector 40"/>
                          <wps:cNvCnPr>
                            <a:cxnSpLocks/>
                            <a:stCxn id="39" idx="2"/>
                          </wps:cNvCnPr>
                          <wps:spPr>
                            <a:xfrm flipH="1">
                              <a:off x="2413733"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 name="Group 4"/>
                        <wpg:cNvGrpSpPr/>
                        <wpg:grpSpPr>
                          <a:xfrm>
                            <a:off x="3912325" y="0"/>
                            <a:ext cx="711991" cy="4548589"/>
                            <a:chOff x="3912325" y="0"/>
                            <a:chExt cx="711991" cy="4548589"/>
                          </a:xfrm>
                        </wpg:grpSpPr>
                        <wps:wsp>
                          <wps:cNvPr id="37" name="Rectangle 37"/>
                          <wps:cNvSpPr/>
                          <wps:spPr>
                            <a:xfrm>
                              <a:off x="3912325"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B7E8CEE"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Straight Connector 38"/>
                          <wps:cNvCnPr>
                            <a:cxnSpLocks/>
                            <a:stCxn id="37" idx="2"/>
                          </wps:cNvCnPr>
                          <wps:spPr>
                            <a:xfrm flipH="1">
                              <a:off x="4265088"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 name="Rectangle: Rounded Corners 5"/>
                        <wps:cNvSpPr/>
                        <wps:spPr>
                          <a:xfrm>
                            <a:off x="1836471" y="914732"/>
                            <a:ext cx="1131776" cy="448241"/>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0E26E5" w14:textId="5E51205B" w:rsidR="00D53AC4" w:rsidRPr="00C8625D" w:rsidRDefault="00D53AC4" w:rsidP="0031086B">
                              <w:pPr>
                                <w:pStyle w:val="NormalWeb"/>
                                <w:spacing w:before="0" w:beforeAutospacing="0" w:after="0" w:afterAutospacing="0"/>
                                <w:jc w:val="center"/>
                                <w:rPr>
                                  <w:sz w:val="16"/>
                                  <w:szCs w:val="14"/>
                                  <w:lang w:val="en-US"/>
                                </w:rPr>
                              </w:pPr>
                              <w:r w:rsidRPr="00C8625D">
                                <w:rPr>
                                  <w:rFonts w:asciiTheme="minorHAnsi" w:hAnsi="Calibri" w:cstheme="minorBidi"/>
                                  <w:color w:val="000000" w:themeColor="text1"/>
                                  <w:kern w:val="24"/>
                                  <w:sz w:val="16"/>
                                  <w:szCs w:val="14"/>
                                  <w:lang w:val="en-US"/>
                                </w:rPr>
                                <w:t>HO decision based on early report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6" name="Group 6"/>
                        <wpg:cNvGrpSpPr/>
                        <wpg:grpSpPr>
                          <a:xfrm>
                            <a:off x="194650" y="393014"/>
                            <a:ext cx="2219083" cy="215265"/>
                            <a:chOff x="194650" y="393014"/>
                            <a:chExt cx="2219083" cy="215265"/>
                          </a:xfrm>
                        </wpg:grpSpPr>
                        <wps:wsp>
                          <wps:cNvPr id="35" name="Straight Arrow Connector 35"/>
                          <wps:cNvCnPr>
                            <a:cxnSpLocks/>
                          </wps:cNvCnPr>
                          <wps:spPr>
                            <a:xfrm flipH="1" flipV="1">
                              <a:off x="194650" y="576942"/>
                              <a:ext cx="2219083"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6" name="TextBox 28"/>
                          <wps:cNvSpPr txBox="1"/>
                          <wps:spPr>
                            <a:xfrm>
                              <a:off x="682017" y="393014"/>
                              <a:ext cx="507365" cy="215265"/>
                            </a:xfrm>
                            <a:prstGeom prst="rect">
                              <a:avLst/>
                            </a:prstGeom>
                            <a:noFill/>
                          </wps:spPr>
                          <wps:txbx>
                            <w:txbxContent>
                              <w:p w14:paraId="4AA80EED" w14:textId="77777777"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g:grpSp>
                      <wpg:grpSp>
                        <wpg:cNvPr id="7" name="Group 7"/>
                        <wpg:cNvGrpSpPr/>
                        <wpg:grpSpPr>
                          <a:xfrm>
                            <a:off x="194649" y="629241"/>
                            <a:ext cx="2219084" cy="215444"/>
                            <a:chOff x="194649" y="629241"/>
                            <a:chExt cx="2219084" cy="215444"/>
                          </a:xfrm>
                        </wpg:grpSpPr>
                        <wps:wsp>
                          <wps:cNvPr id="33" name="Straight Arrow Connector 33"/>
                          <wps:cNvCnPr>
                            <a:cxnSpLocks/>
                          </wps:cNvCnPr>
                          <wps:spPr>
                            <a:xfrm>
                              <a:off x="194649" y="81713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TextBox 30"/>
                          <wps:cNvSpPr txBox="1"/>
                          <wps:spPr>
                            <a:xfrm>
                              <a:off x="264588" y="629241"/>
                              <a:ext cx="2072640" cy="215444"/>
                            </a:xfrm>
                            <a:prstGeom prst="rect">
                              <a:avLst/>
                            </a:prstGeom>
                            <a:noFill/>
                          </wps:spPr>
                          <wps:txbx>
                            <w:txbxContent>
                              <w:p w14:paraId="4E3534B3" w14:textId="4F44A21C"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1. Measurement report (”low” threshold)</w:t>
                                </w:r>
                              </w:p>
                            </w:txbxContent>
                          </wps:txbx>
                          <wps:bodyPr wrap="square" rtlCol="0">
                            <a:spAutoFit/>
                          </wps:bodyPr>
                        </wps:wsp>
                      </wpg:grpSp>
                      <wpg:grpSp>
                        <wpg:cNvPr id="8" name="Group 8"/>
                        <wpg:cNvGrpSpPr/>
                        <wpg:grpSpPr>
                          <a:xfrm>
                            <a:off x="2429760" y="1326327"/>
                            <a:ext cx="1856285" cy="215265"/>
                            <a:chOff x="2429760" y="1326327"/>
                            <a:chExt cx="1856285" cy="215265"/>
                          </a:xfrm>
                        </wpg:grpSpPr>
                        <wps:wsp>
                          <wps:cNvPr id="31" name="Straight Arrow Connector 31"/>
                          <wps:cNvCnPr/>
                          <wps:spPr>
                            <a:xfrm>
                              <a:off x="2429760" y="1507560"/>
                              <a:ext cx="1856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TextBox 32"/>
                          <wps:cNvSpPr txBox="1"/>
                          <wps:spPr>
                            <a:xfrm>
                              <a:off x="2816299" y="1326327"/>
                              <a:ext cx="1175385" cy="215265"/>
                            </a:xfrm>
                            <a:prstGeom prst="rect">
                              <a:avLst/>
                            </a:prstGeom>
                            <a:noFill/>
                          </wps:spPr>
                          <wps:txbx>
                            <w:txbxContent>
                              <w:p w14:paraId="59C1C9DE" w14:textId="0B9360D2"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2. Early HO Request</w:t>
                                </w:r>
                              </w:p>
                            </w:txbxContent>
                          </wps:txbx>
                          <wps:bodyPr wrap="square" rtlCol="0">
                            <a:spAutoFit/>
                          </wps:bodyPr>
                        </wps:wsp>
                      </wpg:grpSp>
                      <wps:wsp>
                        <wps:cNvPr id="9" name="Rectangle: Rounded Corners 9"/>
                        <wps:cNvSpPr/>
                        <wps:spPr>
                          <a:xfrm>
                            <a:off x="3740077" y="1579314"/>
                            <a:ext cx="1071244" cy="439267"/>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EB6C8B" w14:textId="516B1BC5"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16"/>
                                  <w:szCs w:val="16"/>
                                </w:rPr>
                                <w:t>Accept HO, build RRC config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 name="Group 10"/>
                        <wpg:cNvGrpSpPr/>
                        <wpg:grpSpPr>
                          <a:xfrm>
                            <a:off x="2455153" y="1992563"/>
                            <a:ext cx="1851355" cy="217818"/>
                            <a:chOff x="2455153" y="1992563"/>
                            <a:chExt cx="1851355" cy="217818"/>
                          </a:xfrm>
                        </wpg:grpSpPr>
                        <wps:wsp>
                          <wps:cNvPr id="29" name="Straight Arrow Connector 29"/>
                          <wps:cNvCnPr/>
                          <wps:spPr>
                            <a:xfrm flipH="1" flipV="1">
                              <a:off x="2455153" y="2210381"/>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TextBox 37"/>
                          <wps:cNvSpPr txBox="1"/>
                          <wps:spPr>
                            <a:xfrm>
                              <a:off x="2652762" y="1992563"/>
                              <a:ext cx="1300480" cy="215265"/>
                            </a:xfrm>
                            <a:prstGeom prst="rect">
                              <a:avLst/>
                            </a:prstGeom>
                            <a:noFill/>
                          </wps:spPr>
                          <wps:txbx>
                            <w:txbxContent>
                              <w:p w14:paraId="1A4199F3" w14:textId="4A1A28FE" w:rsidR="00D53AC4" w:rsidRPr="00C8625D" w:rsidRDefault="00D53AC4" w:rsidP="0031086B">
                                <w:pPr>
                                  <w:pStyle w:val="NormalWeb"/>
                                  <w:spacing w:before="0" w:beforeAutospacing="0" w:after="0" w:afterAutospacing="0"/>
                                  <w:rPr>
                                    <w:lang w:val="en-US"/>
                                  </w:rPr>
                                </w:pPr>
                                <w:r w:rsidRPr="00C8625D">
                                  <w:rPr>
                                    <w:rFonts w:asciiTheme="minorHAnsi" w:hAnsi="Calibri" w:cstheme="minorBidi"/>
                                    <w:color w:val="0070C0"/>
                                    <w:kern w:val="24"/>
                                    <w:sz w:val="16"/>
                                    <w:szCs w:val="16"/>
                                    <w:lang w:val="en-US"/>
                                  </w:rPr>
                                  <w:t>3. HO Ack (incl. RRC config)</w:t>
                                </w:r>
                              </w:p>
                            </w:txbxContent>
                          </wps:txbx>
                          <wps:bodyPr wrap="none" rtlCol="0">
                            <a:spAutoFit/>
                          </wps:bodyPr>
                        </wps:wsp>
                      </wpg:grpSp>
                      <wpg:grpSp>
                        <wpg:cNvPr id="11" name="Group 11"/>
                        <wpg:cNvGrpSpPr/>
                        <wpg:grpSpPr>
                          <a:xfrm>
                            <a:off x="185360" y="2190548"/>
                            <a:ext cx="2219084" cy="339725"/>
                            <a:chOff x="185360" y="2190548"/>
                            <a:chExt cx="2219084" cy="339725"/>
                          </a:xfrm>
                        </wpg:grpSpPr>
                        <wps:wsp>
                          <wps:cNvPr id="27" name="Straight Arrow Connector 27"/>
                          <wps:cNvCnPr/>
                          <wps:spPr>
                            <a:xfrm flipH="1">
                              <a:off x="185360" y="233354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Box 47"/>
                          <wps:cNvSpPr txBox="1"/>
                          <wps:spPr>
                            <a:xfrm>
                              <a:off x="250136" y="2190548"/>
                              <a:ext cx="2072640" cy="339725"/>
                            </a:xfrm>
                            <a:prstGeom prst="rect">
                              <a:avLst/>
                            </a:prstGeom>
                            <a:noFill/>
                          </wps:spPr>
                          <wps:txbx>
                            <w:txbxContent>
                              <w:p w14:paraId="78582CB2" w14:textId="494FDBA5" w:rsidR="00D53AC4" w:rsidRPr="00C8625D" w:rsidRDefault="00D53AC4" w:rsidP="0031086B">
                                <w:pPr>
                                  <w:pStyle w:val="NormalWeb"/>
                                  <w:spacing w:before="0" w:beforeAutospacing="0" w:after="0" w:afterAutospacing="0"/>
                                  <w:jc w:val="center"/>
                                  <w:rPr>
                                    <w:rFonts w:asciiTheme="minorHAnsi" w:hAnsi="Calibri" w:cstheme="minorBidi"/>
                                    <w:color w:val="0070C0"/>
                                    <w:kern w:val="24"/>
                                    <w:sz w:val="16"/>
                                    <w:szCs w:val="16"/>
                                    <w:lang w:val="en-US"/>
                                  </w:rPr>
                                </w:pPr>
                                <w:r w:rsidRPr="00C8625D">
                                  <w:rPr>
                                    <w:rFonts w:asciiTheme="minorHAnsi" w:hAnsi="Calibri" w:cstheme="minorBidi"/>
                                    <w:color w:val="0070C0"/>
                                    <w:kern w:val="24"/>
                                    <w:sz w:val="16"/>
                                    <w:szCs w:val="16"/>
                                    <w:lang w:val="en-US"/>
                                  </w:rPr>
                                  <w:t>4. Conditional HO command</w:t>
                                </w:r>
                              </w:p>
                              <w:p w14:paraId="210288DE" w14:textId="43F28EDB" w:rsidR="00D53AC4" w:rsidRPr="00C8625D" w:rsidRDefault="00D53AC4" w:rsidP="0031086B">
                                <w:pPr>
                                  <w:pStyle w:val="NormalWeb"/>
                                  <w:spacing w:before="0" w:beforeAutospacing="0" w:after="0" w:afterAutospacing="0"/>
                                  <w:jc w:val="center"/>
                                  <w:rPr>
                                    <w:lang w:val="en-US"/>
                                  </w:rPr>
                                </w:pPr>
                                <w:r w:rsidRPr="00C8625D">
                                  <w:rPr>
                                    <w:rFonts w:asciiTheme="minorHAnsi" w:hAnsi="Calibri" w:cstheme="minorBidi"/>
                                    <w:color w:val="0070C0"/>
                                    <w:kern w:val="24"/>
                                    <w:sz w:val="16"/>
                                    <w:szCs w:val="16"/>
                                    <w:lang w:val="en-US"/>
                                  </w:rPr>
                                  <w:t xml:space="preserve">(”high” threshold) </w:t>
                                </w:r>
                              </w:p>
                            </w:txbxContent>
                          </wps:txbx>
                          <wps:bodyPr wrap="square" rtlCol="0">
                            <a:spAutoFit/>
                          </wps:bodyPr>
                        </wps:wsp>
                      </wpg:grpSp>
                      <wps:wsp>
                        <wps:cNvPr id="15" name="Rectangle: Rounded Corners 15"/>
                        <wps:cNvSpPr/>
                        <wps:spPr>
                          <a:xfrm>
                            <a:off x="-476175" y="2699919"/>
                            <a:ext cx="1308808" cy="543613"/>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C9287" w14:textId="1360F2B1" w:rsidR="00D53AC4" w:rsidRDefault="00D53AC4" w:rsidP="0031086B">
                              <w:pPr>
                                <w:pStyle w:val="NormalWeb"/>
                                <w:spacing w:before="0" w:beforeAutospacing="0" w:after="0" w:afterAutospacing="0"/>
                                <w:jc w:val="center"/>
                              </w:pPr>
                              <w:r w:rsidRPr="00C8625D">
                                <w:rPr>
                                  <w:rFonts w:asciiTheme="minorHAnsi" w:hAnsi="Calibri" w:cstheme="minorBidi"/>
                                  <w:color w:val="000000" w:themeColor="text1"/>
                                  <w:kern w:val="24"/>
                                  <w:sz w:val="16"/>
                                  <w:szCs w:val="16"/>
                                  <w:lang w:val="en-US"/>
                                </w:rPr>
                                <w:t xml:space="preserve">Measurements fulfill  HO Condition </w:t>
                              </w:r>
                              <w:r w:rsidRPr="00AF0431">
                                <w:rPr>
                                  <w:rFonts w:asciiTheme="minorHAnsi" w:hAnsi="Calibri" w:cstheme="minorBidi"/>
                                  <w:color w:val="000000" w:themeColor="text1"/>
                                  <w:kern w:val="24"/>
                                  <w:sz w:val="16"/>
                                  <w:szCs w:val="16"/>
                                </w:rPr>
                                <w:sym w:font="Wingdings" w:char="F0E8"/>
                              </w:r>
                              <w:r w:rsidRPr="00C8625D">
                                <w:rPr>
                                  <w:rFonts w:asciiTheme="minorHAnsi" w:hAnsi="Calibri" w:cstheme="minorBidi"/>
                                  <w:color w:val="000000" w:themeColor="text1"/>
                                  <w:kern w:val="24"/>
                                  <w:sz w:val="16"/>
                                  <w:szCs w:val="16"/>
                                  <w:lang w:val="en-US"/>
                                </w:rPr>
                                <w:t xml:space="preserve"> UE triggers pending cond. </w:t>
                              </w:r>
                              <w:r>
                                <w:rPr>
                                  <w:rFonts w:asciiTheme="minorHAnsi" w:hAnsi="Calibri" w:cstheme="minorBidi"/>
                                  <w:color w:val="000000" w:themeColor="text1"/>
                                  <w:kern w:val="24"/>
                                  <w:sz w:val="16"/>
                                  <w:szCs w:val="16"/>
                                </w:rPr>
                                <w:t>HO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flipV="1">
                            <a:off x="180587" y="3390658"/>
                            <a:ext cx="4087309"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TextBox 64"/>
                        <wps:cNvSpPr txBox="1"/>
                        <wps:spPr>
                          <a:xfrm>
                            <a:off x="1238202" y="3194844"/>
                            <a:ext cx="1869890" cy="215444"/>
                          </a:xfrm>
                          <a:prstGeom prst="rect">
                            <a:avLst/>
                          </a:prstGeom>
                          <a:noFill/>
                        </wps:spPr>
                        <wps:txbx>
                          <w:txbxContent>
                            <w:p w14:paraId="39669B27" w14:textId="77777777" w:rsidR="00D53AC4" w:rsidRDefault="00D53AC4" w:rsidP="0031086B">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wps:txbx>
                        <wps:bodyPr wrap="square" rtlCol="0">
                          <a:spAutoFit/>
                        </wps:bodyPr>
                      </wps:wsp>
                      <wpg:grpSp>
                        <wpg:cNvPr id="18" name="Group 18"/>
                        <wpg:cNvGrpSpPr/>
                        <wpg:grpSpPr>
                          <a:xfrm>
                            <a:off x="168132" y="3545889"/>
                            <a:ext cx="4070439" cy="225912"/>
                            <a:chOff x="180192" y="3545889"/>
                            <a:chExt cx="2219084" cy="225912"/>
                          </a:xfrm>
                        </wpg:grpSpPr>
                        <wps:wsp>
                          <wps:cNvPr id="25" name="Straight Arrow Connector 25"/>
                          <wps:cNvCnPr>
                            <a:cxnSpLocks/>
                          </wps:cNvCnPr>
                          <wps:spPr>
                            <a:xfrm>
                              <a:off x="180192" y="3771801"/>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Box 67"/>
                          <wps:cNvSpPr txBox="1"/>
                          <wps:spPr>
                            <a:xfrm>
                              <a:off x="303552" y="3545889"/>
                              <a:ext cx="2072640" cy="215444"/>
                            </a:xfrm>
                            <a:prstGeom prst="rect">
                              <a:avLst/>
                            </a:prstGeom>
                            <a:noFill/>
                          </wps:spPr>
                          <wps:txbx>
                            <w:txbxContent>
                              <w:p w14:paraId="2EEEF3A4" w14:textId="77777777"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6. HO confirm</w:t>
                                </w:r>
                              </w:p>
                            </w:txbxContent>
                          </wps:txbx>
                          <wps:bodyPr wrap="square" rtlCol="0">
                            <a:spAutoFit/>
                          </wps:bodyPr>
                        </wps:wsp>
                      </wpg:grpSp>
                      <wpg:grpSp>
                        <wpg:cNvPr id="19" name="Group 19"/>
                        <wpg:cNvGrpSpPr/>
                        <wpg:grpSpPr>
                          <a:xfrm>
                            <a:off x="2429758" y="3838196"/>
                            <a:ext cx="1851355" cy="215266"/>
                            <a:chOff x="2429758" y="3838196"/>
                            <a:chExt cx="1851355" cy="215266"/>
                          </a:xfrm>
                        </wpg:grpSpPr>
                        <wps:wsp>
                          <wps:cNvPr id="23" name="Straight Arrow Connector 23"/>
                          <wps:cNvCnPr/>
                          <wps:spPr>
                            <a:xfrm flipH="1" flipV="1">
                              <a:off x="2429758" y="4053462"/>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Box 70"/>
                          <wps:cNvSpPr txBox="1"/>
                          <wps:spPr>
                            <a:xfrm>
                              <a:off x="3009432" y="3838196"/>
                              <a:ext cx="879475" cy="215265"/>
                            </a:xfrm>
                            <a:prstGeom prst="rect">
                              <a:avLst/>
                            </a:prstGeom>
                            <a:noFill/>
                          </wps:spPr>
                          <wps:txbx>
                            <w:txbxContent>
                              <w:p w14:paraId="13469CCF" w14:textId="77777777"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7. HO completed</w:t>
                                </w:r>
                              </w:p>
                            </w:txbxContent>
                          </wps:txbx>
                          <wps:bodyPr wrap="none" rtlCol="0">
                            <a:spAutoFit/>
                          </wps:bodyPr>
                        </wps:wsp>
                      </wpg:grpSp>
                      <wpg:grpSp>
                        <wpg:cNvPr id="20" name="Group 20"/>
                        <wpg:cNvGrpSpPr/>
                        <wpg:grpSpPr>
                          <a:xfrm>
                            <a:off x="194653" y="4081521"/>
                            <a:ext cx="4080241" cy="215265"/>
                            <a:chOff x="194653" y="4081521"/>
                            <a:chExt cx="4080241" cy="215265"/>
                          </a:xfrm>
                        </wpg:grpSpPr>
                        <wps:wsp>
                          <wps:cNvPr id="21" name="Straight Arrow Connector 21"/>
                          <wps:cNvCnPr>
                            <a:cxnSpLocks/>
                          </wps:cNvCnPr>
                          <wps:spPr>
                            <a:xfrm flipH="1">
                              <a:off x="194653" y="4261656"/>
                              <a:ext cx="4080241"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 name="TextBox 73"/>
                          <wps:cNvSpPr txBox="1"/>
                          <wps:spPr>
                            <a:xfrm>
                              <a:off x="1046111" y="4081521"/>
                              <a:ext cx="531495" cy="215265"/>
                            </a:xfrm>
                            <a:prstGeom prst="rect">
                              <a:avLst/>
                            </a:prstGeom>
                            <a:noFill/>
                          </wps:spPr>
                          <wps:txbx>
                            <w:txbxContent>
                              <w:p w14:paraId="1FAD0A3F" w14:textId="2B9EC786"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g:grpSp>
                    </wpg:wgp>
                  </a:graphicData>
                </a:graphic>
              </wp:inline>
            </w:drawing>
          </mc:Choice>
          <mc:Fallback>
            <w:pict>
              <v:group w14:anchorId="6D97F28D" id="Group 74" o:spid="_x0000_s1026" style="width:416.35pt;height:358.1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">
                <v:group id="Group 2"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1"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" filled="f" strokecolor="#243f60 [1604]" strokeweight="2pt">
                    <v:textbox>
                      <w:txbxContent>
                        <w:p w14:paraId="6C7F45E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v:textbox>
                  </v:rect>
                  <v:line id="Straight Connector 42"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" strokecolor="black [3213]">
                    <o:lock v:ext="edit" shapetype="f"/>
                  </v:line>
                </v:group>
                <v:group id="Group 3"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39"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" filled="f" strokecolor="#243f60 [1604]" strokeweight="2pt">
                    <v:textbox>
                      <w:txbxContent>
                        <w:p w14:paraId="2344820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v:textbox>
                  </v:rect>
                  <v:line id="Straight Connector 40"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" strokecolor="black [3213]">
                    <o:lock v:ext="edit" shapetype="f"/>
                  </v:line>
                </v:group>
                <v:group id="Group 4"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37"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" filled="f" strokecolor="#243f60 [1604]" strokeweight="2pt">
                    <v:textbox>
                      <w:txbxContent>
                        <w:p w14:paraId="3B7E8CEE"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v:textbox>
                  </v:rect>
                  <v:line id="Straight Connector 38"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" strokecolor="black [3213]">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" fillcolor="#f9fb9d" strokecolor="black [3213]" strokeweight="2pt">
                  <v:textbox>
                    <w:txbxContent>
                      <w:p w14:paraId="460E26E5" w14:textId="5E51205B" w:rsidR="00D53AC4" w:rsidRPr="00C8625D" w:rsidRDefault="00D53AC4" w:rsidP="0031086B">
                        <w:pPr>
                          <w:pStyle w:val="NormalWeb"/>
                          <w:spacing w:before="0" w:beforeAutospacing="0" w:after="0" w:afterAutospacing="0"/>
                          <w:jc w:val="center"/>
                          <w:rPr>
                            <w:sz w:val="16"/>
                            <w:szCs w:val="14"/>
                            <w:lang w:val="en-US"/>
                          </w:rPr>
                        </w:pPr>
                        <w:r w:rsidRPr="00C8625D">
                          <w:rPr>
                            <w:rFonts w:asciiTheme="minorHAnsi" w:hAnsi="Calibri" w:cstheme="minorBidi"/>
                            <w:color w:val="000000" w:themeColor="text1"/>
                            <w:kern w:val="24"/>
                            <w:sz w:val="16"/>
                            <w:szCs w:val="14"/>
                            <w:lang w:val="en-US"/>
                          </w:rPr>
                          <w:t>HO decision based on early report</w:t>
                        </w:r>
                      </w:p>
                    </w:txbxContent>
                  </v:textbox>
                </v:roundrect>
                <v:group id="Group 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32" coordsize="21600,21600" o:spt="32" o:oned="t" path="m,l21600,21600e" filled="f">
                    <v:path arrowok="t" fillok="f" o:connecttype="none"/>
                    <o:lock v:ext="edit" shapetype="t"/>
                  </v:shapetype>
                  <v:shape id="Straight Arrow Connector 35"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4AA80EED" w14:textId="77777777"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v:textbox>
                  </v:shape>
                </v:group>
                <v:group id="Group 7"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Straight Arrow Connector 33"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" strokecolor="#4579b8 [3044]">
                    <v:stroke endarrow="block"/>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4E3534B3" w14:textId="4F44A21C"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1. Measurement report (”low” threshold)</w:t>
                          </w:r>
                        </w:p>
                      </w:txbxContent>
                    </v:textbox>
                  </v:shape>
                </v:group>
                <v:group id="Group 8"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Straight Arrow Connector 31"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" strokecolor="#4579b8 [3044]">
                    <v:stroke endarrow="block"/>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59C1C9DE" w14:textId="0B9360D2"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2. Early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" fillcolor="#f9fb9d" strokecolor="black [3213]" strokeweight="2pt">
                  <v:textbox>
                    <w:txbxContent>
                      <w:p w14:paraId="56EB6C8B" w14:textId="516B1BC5"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16"/>
                            <w:szCs w:val="16"/>
                          </w:rPr>
                          <w:t>Accept HO, build RRC config</w:t>
                        </w:r>
                      </w:p>
                    </w:txbxContent>
                  </v:textbox>
                </v:roundrect>
                <v:group id="Group 10" o:spid="_x0000_s1047" style="position:absolute;left:24551;top:19925;width:18514;height:2178" coordorigin="24551,19925" coordsize="18513,2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Straight Arrow Connector 29" o:spid="_x0000_s1048" type="#_x0000_t32" style="position:absolute;left:24551;top:22103;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" strokecolor="#4579b8 [3044]">
                    <v:stroke endarrow="block"/>
                  </v:shape>
                  <v:shape id="TextBox 37" o:spid="_x0000_s1049" type="#_x0000_t202" style="position:absolute;left:26527;top:19925;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1A4199F3" w14:textId="4A1A28FE" w:rsidR="00D53AC4" w:rsidRPr="00C8625D" w:rsidRDefault="00D53AC4" w:rsidP="0031086B">
                          <w:pPr>
                            <w:pStyle w:val="NormalWeb"/>
                            <w:spacing w:before="0" w:beforeAutospacing="0" w:after="0" w:afterAutospacing="0"/>
                            <w:rPr>
                              <w:lang w:val="en-US"/>
                            </w:rPr>
                          </w:pPr>
                          <w:r w:rsidRPr="00C8625D">
                            <w:rPr>
                              <w:rFonts w:asciiTheme="minorHAnsi" w:hAnsi="Calibri" w:cstheme="minorBidi"/>
                              <w:color w:val="0070C0"/>
                              <w:kern w:val="24"/>
                              <w:sz w:val="16"/>
                              <w:szCs w:val="16"/>
                              <w:lang w:val="en-US"/>
                            </w:rPr>
                            <w:t>3. HO Ack (incl. RRC config)</w:t>
                          </w:r>
                        </w:p>
                      </w:txbxContent>
                    </v:textbox>
                  </v:shape>
                </v:group>
                <v:group id="Group 11" o:spid="_x0000_s1050" style="position:absolute;left:1853;top:21905;width:22191;height:3397" coordorigin="1853,21905" coordsize="22190,3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Straight Arrow Connector 27"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" strokecolor="#4579b8 [3044]">
                    <v:stroke endarrow="block"/>
                  </v:shape>
                  <v:shape id="TextBox 47" o:spid="_x0000_s1052" type="#_x0000_t202" style="position:absolute;left:2501;top:21905;width:2072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78582CB2" w14:textId="494FDBA5" w:rsidR="00D53AC4" w:rsidRPr="00C8625D" w:rsidRDefault="00D53AC4" w:rsidP="0031086B">
                          <w:pPr>
                            <w:pStyle w:val="NormalWeb"/>
                            <w:spacing w:before="0" w:beforeAutospacing="0" w:after="0" w:afterAutospacing="0"/>
                            <w:jc w:val="center"/>
                            <w:rPr>
                              <w:rFonts w:asciiTheme="minorHAnsi" w:hAnsi="Calibri" w:cstheme="minorBidi"/>
                              <w:color w:val="0070C0"/>
                              <w:kern w:val="24"/>
                              <w:sz w:val="16"/>
                              <w:szCs w:val="16"/>
                              <w:lang w:val="en-US"/>
                            </w:rPr>
                          </w:pPr>
                          <w:r w:rsidRPr="00C8625D">
                            <w:rPr>
                              <w:rFonts w:asciiTheme="minorHAnsi" w:hAnsi="Calibri" w:cstheme="minorBidi"/>
                              <w:color w:val="0070C0"/>
                              <w:kern w:val="24"/>
                              <w:sz w:val="16"/>
                              <w:szCs w:val="16"/>
                              <w:lang w:val="en-US"/>
                            </w:rPr>
                            <w:t>4. Conditional HO command</w:t>
                          </w:r>
                        </w:p>
                        <w:p w14:paraId="210288DE" w14:textId="43F28EDB" w:rsidR="00D53AC4" w:rsidRPr="00C8625D" w:rsidRDefault="00D53AC4" w:rsidP="0031086B">
                          <w:pPr>
                            <w:pStyle w:val="NormalWeb"/>
                            <w:spacing w:before="0" w:beforeAutospacing="0" w:after="0" w:afterAutospacing="0"/>
                            <w:jc w:val="center"/>
                            <w:rPr>
                              <w:lang w:val="en-US"/>
                            </w:rPr>
                          </w:pPr>
                          <w:r w:rsidRPr="00C8625D">
                            <w:rPr>
                              <w:rFonts w:asciiTheme="minorHAnsi" w:hAnsi="Calibri" w:cstheme="minorBidi"/>
                              <w:color w:val="0070C0"/>
                              <w:kern w:val="24"/>
                              <w:sz w:val="16"/>
                              <w:szCs w:val="16"/>
                              <w:lang w:val="en-US"/>
                            </w:rPr>
                            <w:t xml:space="preserve">(”high” threshold)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" fillcolor="#f9fb9d" strokecolor="black [3213]" strokeweight="2pt">
                  <v:textbox>
                    <w:txbxContent>
                      <w:p w14:paraId="764C9287" w14:textId="1360F2B1" w:rsidR="00D53AC4" w:rsidRDefault="00D53AC4" w:rsidP="0031086B">
                        <w:pPr>
                          <w:pStyle w:val="NormalWeb"/>
                          <w:spacing w:before="0" w:beforeAutospacing="0" w:after="0" w:afterAutospacing="0"/>
                          <w:jc w:val="center"/>
                        </w:pPr>
                        <w:r w:rsidRPr="00C8625D">
                          <w:rPr>
                            <w:rFonts w:asciiTheme="minorHAnsi" w:hAnsi="Calibri" w:cstheme="minorBidi"/>
                            <w:color w:val="000000" w:themeColor="text1"/>
                            <w:kern w:val="24"/>
                            <w:sz w:val="16"/>
                            <w:szCs w:val="16"/>
                            <w:lang w:val="en-US"/>
                          </w:rPr>
                          <w:t xml:space="preserve">Measurements fulfill  HO Condition </w:t>
                        </w:r>
                        <w:r w:rsidRPr="00AF0431">
                          <w:rPr>
                            <w:rFonts w:asciiTheme="minorHAnsi" w:hAnsi="Calibri" w:cstheme="minorBidi"/>
                            <w:color w:val="000000" w:themeColor="text1"/>
                            <w:kern w:val="24"/>
                            <w:sz w:val="16"/>
                            <w:szCs w:val="16"/>
                          </w:rPr>
                          <w:sym w:font="Wingdings" w:char="F0E8"/>
                        </w:r>
                        <w:r w:rsidRPr="00C8625D">
                          <w:rPr>
                            <w:rFonts w:asciiTheme="minorHAnsi" w:hAnsi="Calibri" w:cstheme="minorBidi"/>
                            <w:color w:val="000000" w:themeColor="text1"/>
                            <w:kern w:val="24"/>
                            <w:sz w:val="16"/>
                            <w:szCs w:val="16"/>
                            <w:lang w:val="en-US"/>
                          </w:rPr>
                          <w:t xml:space="preserve"> UE triggers pending cond. </w:t>
                        </w:r>
                        <w:r>
                          <w:rPr>
                            <w:rFonts w:asciiTheme="minorHAnsi" w:hAnsi="Calibri" w:cstheme="minorBidi"/>
                            <w:color w:val="000000" w:themeColor="text1"/>
                            <w:kern w:val="24"/>
                            <w:sz w:val="16"/>
                            <w:szCs w:val="16"/>
                          </w:rPr>
                          <w:t>HO</w:t>
                        </w:r>
                      </w:p>
                    </w:txbxContent>
                  </v:textbox>
                </v:roundrect>
                <v:shape id="Straight Arrow Connector 16"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" strokecolor="black [3213]">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39669B27" w14:textId="77777777" w:rsidR="00D53AC4" w:rsidRDefault="00D53AC4" w:rsidP="0031086B">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v:textbox>
                </v:shape>
                <v:group id="Group 18"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Straight Arrow Connector 25"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" strokecolor="#4579b8 [3044]">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EEEF3A4" w14:textId="77777777"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6. HO confirm</w:t>
                          </w:r>
                        </w:p>
                      </w:txbxContent>
                    </v:textbox>
                  </v:shape>
                </v:group>
                <v:group id="Group 19"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Straight Arrow Connector 23"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" strokecolor="#4579b8 [3044]">
                    <v:stroke endarrow="block"/>
                  </v:shape>
                  <v:shape id="TextBox 70" o:spid="_x0000_s1061" type="#_x0000_t202" style="position:absolute;left:30094;top:38381;width:879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13469CCF" w14:textId="77777777"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7. HO completed</w:t>
                          </w:r>
                        </w:p>
                      </w:txbxContent>
                    </v:textbox>
                  </v:shape>
                </v:group>
                <v:group id="Group 20"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Straight Arrow Connector 21"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" strokecolor="#7030a0">
                    <v:stroke dashstyle="dash" endarrow="block"/>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1FAD0A3F" w14:textId="2B9EC786"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v:textbox>
                  </v:shape>
                </v:group>
                <w10:anchorlock/>
              </v:group>
            </w:pict>
          </mc:Fallback>
        </mc:AlternateContent>
      </w:r>
    </w:p>
    <w:p w14:paraId="10830421" w14:textId="57EC8836" w:rsidR="006153EA" w:rsidRDefault="006153EA" w:rsidP="006153EA">
      <w:pPr>
        <w:pStyle w:val="Caption"/>
      </w:pPr>
      <w:bookmarkStart w:id="39" w:name="_Ref463051822"/>
      <w:r>
        <w:t xml:space="preserve">Figure </w:t>
      </w:r>
      <w:r>
        <w:fldChar w:fldCharType="begin"/>
      </w:r>
      <w:r>
        <w:instrText xml:space="preserve"> SEQ Figure \* ARABIC </w:instrText>
      </w:r>
      <w:r>
        <w:fldChar w:fldCharType="separate"/>
      </w:r>
      <w:r w:rsidR="00A120F2">
        <w:rPr>
          <w:noProof/>
        </w:rPr>
        <w:t>1</w:t>
      </w:r>
      <w:r>
        <w:fldChar w:fldCharType="end"/>
      </w:r>
      <w:bookmarkEnd w:id="39"/>
      <w:r>
        <w:t xml:space="preserve">: Conditional handover execution </w:t>
      </w:r>
    </w:p>
    <w:p w14:paraId="0D422D79" w14:textId="78E9914E" w:rsidR="006153EA" w:rsidRDefault="006153EA" w:rsidP="006153EA">
      <w:r>
        <w:fldChar w:fldCharType="begin"/>
      </w:r>
      <w:r>
        <w:instrText xml:space="preserve"> REF _Ref463051822 \h </w:instrText>
      </w:r>
      <w:r>
        <w:fldChar w:fldCharType="separate"/>
      </w:r>
      <w:r w:rsidR="00A120F2">
        <w:t xml:space="preserve">Figure </w:t>
      </w:r>
      <w:r w:rsidR="00A120F2">
        <w:rPr>
          <w:noProof/>
        </w:rPr>
        <w:t>1</w:t>
      </w:r>
      <w:r>
        <w:fldChar w:fldCharType="end"/>
      </w:r>
      <w:r>
        <w:t xml:space="preserve"> depicts an example with just a serving and a target </w:t>
      </w:r>
      <w:r w:rsidR="001F58BF">
        <w:t>cell</w:t>
      </w:r>
      <w:r>
        <w:t xml:space="preserve">. In </w:t>
      </w:r>
      <w:r w:rsidR="008B23D2">
        <w:t>practice,</w:t>
      </w:r>
      <w:r>
        <w:t xml:space="preserve"> there may often be many cells or beams that the UE reported as possible candidates based on its preceding RRM measurements. The RAN should then have the freedom to issue conditional handover </w:t>
      </w:r>
      <w:r w:rsidR="001F58BF">
        <w:t xml:space="preserve">commands </w:t>
      </w:r>
      <w:r>
        <w:t xml:space="preserve">for several of </w:t>
      </w:r>
      <w:r w:rsidR="008B23D2">
        <w:t>those candidates</w:t>
      </w:r>
      <w:r>
        <w:t xml:space="preserve">. The RRCConnectionReconfiguration for each of those candidates may differ e.g. in terms of the HO execution condition (RS to measure and threshold to exceed) as well as in terms of the RA preamble (denoted Uplink Signature Signal in </w:t>
      </w:r>
      <w:r>
        <w:fldChar w:fldCharType="begin"/>
      </w:r>
      <w:r>
        <w:instrText xml:space="preserve"> REF _Ref463051822 \h </w:instrText>
      </w:r>
      <w:r>
        <w:fldChar w:fldCharType="separate"/>
      </w:r>
      <w:r w:rsidR="00A120F2">
        <w:t xml:space="preserve">Figure </w:t>
      </w:r>
      <w:r w:rsidR="00A120F2">
        <w:rPr>
          <w:noProof/>
        </w:rPr>
        <w:t>1</w:t>
      </w:r>
      <w:r>
        <w:fldChar w:fldCharType="end"/>
      </w:r>
      <w:r>
        <w:t xml:space="preserve">) to be sent when a condition is met. </w:t>
      </w:r>
    </w:p>
    <w:p w14:paraId="0E95EB7F" w14:textId="6E43CA25" w:rsidR="00F95F77" w:rsidRDefault="00B66EFE" w:rsidP="006153EA">
      <w:r>
        <w:t xml:space="preserve">The </w:t>
      </w:r>
      <w:r w:rsidRPr="003E60EB">
        <w:rPr>
          <w:i/>
        </w:rPr>
        <w:t>RRCConnectionReconfiguration</w:t>
      </w:r>
      <w:r>
        <w:t xml:space="preserve"> is typically a “delta” to the UE’s current configuration. In LTE, the UE shall apply </w:t>
      </w:r>
      <w:r w:rsidRPr="003E60EB">
        <w:rPr>
          <w:i/>
        </w:rPr>
        <w:t>RRCConnectionReconfiguration</w:t>
      </w:r>
      <w:r>
        <w:t xml:space="preserve"> messages in the order in which it receives them. On the other hand, UMTS allowed associating a reconfiguration message with an “Activation Time”. This led to race conditions and numerous problems when the UE receive a first reconfiguration with a longer Activation Time than the Activation Time of a subsequent reconfiguration message. Obviously, the LTE mechanism is simpler and more robust and should be adopted also for NR. </w:t>
      </w:r>
    </w:p>
    <w:p w14:paraId="626BB7BB" w14:textId="49566454" w:rsidR="00B66EFE" w:rsidRDefault="00B66EFE" w:rsidP="006153EA">
      <w:r>
        <w:t xml:space="preserve">However, we don’t </w:t>
      </w:r>
      <w:r w:rsidR="004B3DDE">
        <w:t xml:space="preserve">think that the “conditional handover” mechanism </w:t>
      </w:r>
      <w:r>
        <w:t xml:space="preserve">proposed in this contribution </w:t>
      </w:r>
      <w:r w:rsidR="004B3DDE">
        <w:t>is directly related to or suffers from the activation time problems observed in UMTS. As explained above, the triggering condition associated with the HO command sent to the UE should evaluate measurements and trigger the handover when those conditions are fulfilled.</w:t>
      </w:r>
    </w:p>
    <w:p w14:paraId="1253BB84" w14:textId="277276BD" w:rsidR="00284B52" w:rsidRDefault="00284B52" w:rsidP="006153EA">
      <w:r>
        <w:t>But since the HO command is typically a delta to the UE’s current RRC configuration, one must address how to handle subsequent RRCConnectionReconfiguration messages arriving from the source cell</w:t>
      </w:r>
      <w:r w:rsidR="00B72B0C">
        <w:t xml:space="preserve"> in case the UE has not executed handover yet</w:t>
      </w:r>
      <w:r>
        <w:t>.</w:t>
      </w:r>
    </w:p>
    <w:p w14:paraId="217E22AD" w14:textId="158A0CEB" w:rsidR="00284B52" w:rsidRDefault="00284B52" w:rsidP="006153EA">
      <w:r>
        <w:t>When the UE receives a “</w:t>
      </w:r>
      <w:r w:rsidRPr="00284B52">
        <w:rPr>
          <w:i/>
        </w:rPr>
        <w:t>conditional</w:t>
      </w:r>
      <w:r w:rsidR="009C56A2">
        <w:rPr>
          <w:i/>
        </w:rPr>
        <w:t xml:space="preserve"> HO command</w:t>
      </w:r>
      <w:r>
        <w:t xml:space="preserve">” </w:t>
      </w:r>
      <w:r w:rsidR="009C56A2">
        <w:t xml:space="preserve">it </w:t>
      </w:r>
      <w:r>
        <w:t xml:space="preserve">should interpret </w:t>
      </w:r>
      <w:r w:rsidR="009C56A2">
        <w:t xml:space="preserve">the </w:t>
      </w:r>
      <w:r w:rsidR="009C56A2" w:rsidRPr="00284B52">
        <w:rPr>
          <w:i/>
        </w:rPr>
        <w:t xml:space="preserve">RRCConnectionReconfiguration </w:t>
      </w:r>
      <w:r w:rsidR="009C56A2" w:rsidRPr="00466776">
        <w:t>with</w:t>
      </w:r>
      <w:r w:rsidR="009C56A2" w:rsidRPr="00284B52">
        <w:rPr>
          <w:i/>
        </w:rPr>
        <w:t xml:space="preserve"> mobilityControlInfo</w:t>
      </w:r>
      <w:r w:rsidR="009C56A2">
        <w:t xml:space="preserve"> </w:t>
      </w:r>
      <w:r>
        <w:t xml:space="preserve">as delta to its current configuration (unless it is a full configuration message). It may in principle determine the target configuration immediately upon reception of the command but it shall apply/execute it only if the associated condition is fulfilled. While the UE evaluates the </w:t>
      </w:r>
      <w:r w:rsidR="008B23D2">
        <w:t>condition,</w:t>
      </w:r>
      <w:r>
        <w:t xml:space="preserve"> it should continue operating per its current RRC configuration, i.e., without applying the conditional HO command. </w:t>
      </w:r>
    </w:p>
    <w:p w14:paraId="62A5090A" w14:textId="3B571716" w:rsidR="001518C4" w:rsidRDefault="001518C4" w:rsidP="001518C4">
      <w:pPr>
        <w:pStyle w:val="Proposal"/>
      </w:pPr>
      <w:bookmarkStart w:id="40" w:name="_Toc471492267"/>
      <w:bookmarkStart w:id="41" w:name="_Toc471499742"/>
      <w:bookmarkStart w:id="42" w:name="_Toc471501320"/>
      <w:bookmarkStart w:id="43" w:name="_Toc473532942"/>
      <w:bookmarkStart w:id="44" w:name="_Toc473533020"/>
      <w:bookmarkStart w:id="45" w:name="_Toc473533371"/>
      <w:bookmarkStart w:id="46" w:name="_Toc477726045"/>
      <w:bookmarkStart w:id="47" w:name="_Toc477972470"/>
      <w:bookmarkStart w:id="48" w:name="_Toc477972565"/>
      <w:bookmarkStart w:id="49" w:name="_Toc477973279"/>
      <w:bookmarkStart w:id="50" w:name="_Toc477973292"/>
      <w:r>
        <w:lastRenderedPageBreak/>
        <w:t xml:space="preserve">When the UE receives </w:t>
      </w:r>
      <w:r w:rsidRPr="001518C4">
        <w:t xml:space="preserve">a “conditional HO command” it </w:t>
      </w:r>
      <w:r>
        <w:t xml:space="preserve">starts evaluating the </w:t>
      </w:r>
      <w:r w:rsidRPr="001518C4">
        <w:t xml:space="preserve">condition </w:t>
      </w:r>
      <w:r>
        <w:t>while continuing</w:t>
      </w:r>
      <w:r w:rsidRPr="001518C4">
        <w:t xml:space="preserve"> operating per its current RRC configuration, i.e., without </w:t>
      </w:r>
      <w:r>
        <w:t>applying the RRCConnectionReconfiguration.</w:t>
      </w:r>
      <w:bookmarkEnd w:id="40"/>
      <w:bookmarkEnd w:id="41"/>
      <w:bookmarkEnd w:id="42"/>
      <w:bookmarkEnd w:id="43"/>
      <w:bookmarkEnd w:id="44"/>
      <w:bookmarkEnd w:id="45"/>
      <w:bookmarkEnd w:id="46"/>
      <w:bookmarkEnd w:id="47"/>
      <w:bookmarkEnd w:id="48"/>
      <w:bookmarkEnd w:id="49"/>
      <w:bookmarkEnd w:id="50"/>
      <w:r>
        <w:t xml:space="preserve"> </w:t>
      </w:r>
    </w:p>
    <w:p w14:paraId="78593600" w14:textId="479387D6" w:rsidR="00284B52" w:rsidRDefault="00284B52" w:rsidP="006153EA">
      <w:r>
        <w:t xml:space="preserve">When the UE determines that the condition is fulfilled, it disconnects from the serving cell, applies the conditional HO command and connects to the target cell. </w:t>
      </w:r>
      <w:r w:rsidR="009C56A2">
        <w:t xml:space="preserve">These steps are equivalent to the current, instantaneous handover execution. Once the UE applies the RRCConnectionReconfiguration including </w:t>
      </w:r>
      <w:r w:rsidR="009C56A2" w:rsidRPr="00B25750">
        <w:rPr>
          <w:i/>
        </w:rPr>
        <w:t>mobilityControlInfo</w:t>
      </w:r>
      <w:r w:rsidR="009C56A2">
        <w:t xml:space="preserve">, it shall not process any subsequent RRCConnectionReconfiguration messages received prior to the HO execution. </w:t>
      </w:r>
      <w:r w:rsidR="002A3C85">
        <w:t xml:space="preserve">This is the intended behaviour already in LTE. </w:t>
      </w:r>
    </w:p>
    <w:p w14:paraId="34690DB0" w14:textId="097AE5F9" w:rsidR="004B3DDE" w:rsidRDefault="001518C4" w:rsidP="002A3C85">
      <w:pPr>
        <w:pStyle w:val="Proposal"/>
      </w:pPr>
      <w:bookmarkStart w:id="51" w:name="_Toc471492268"/>
      <w:bookmarkStart w:id="52" w:name="_Toc471499743"/>
      <w:bookmarkStart w:id="53" w:name="_Toc471501321"/>
      <w:bookmarkStart w:id="54" w:name="_Toc473532943"/>
      <w:bookmarkStart w:id="55" w:name="_Toc473533021"/>
      <w:bookmarkStart w:id="56" w:name="_Toc473533372"/>
      <w:bookmarkStart w:id="57" w:name="_Toc477726046"/>
      <w:bookmarkStart w:id="58" w:name="_Toc477972471"/>
      <w:bookmarkStart w:id="59" w:name="_Toc477972566"/>
      <w:bookmarkStart w:id="60" w:name="_Toc477973280"/>
      <w:bookmarkStart w:id="61" w:name="_Toc477973293"/>
      <w:r>
        <w:t xml:space="preserve">When the HO condition is fulfilled, the </w:t>
      </w:r>
      <w:r w:rsidR="002A3C85">
        <w:t>UE applies the RRCConnectionReconfiguration including mobilityControlInfo</w:t>
      </w:r>
      <w:r>
        <w:t>. I</w:t>
      </w:r>
      <w:r w:rsidR="002A3C85">
        <w:t>t synchronizes to the target cell and shall not process any subsequent RRCConnectionReconfiguration messages received from the source cell prior to the HO execution.</w:t>
      </w:r>
      <w:bookmarkEnd w:id="51"/>
      <w:bookmarkEnd w:id="52"/>
      <w:bookmarkEnd w:id="53"/>
      <w:bookmarkEnd w:id="54"/>
      <w:bookmarkEnd w:id="55"/>
      <w:bookmarkEnd w:id="56"/>
      <w:bookmarkEnd w:id="57"/>
      <w:bookmarkEnd w:id="58"/>
      <w:bookmarkEnd w:id="59"/>
      <w:bookmarkEnd w:id="60"/>
      <w:bookmarkEnd w:id="61"/>
    </w:p>
    <w:p w14:paraId="21581157" w14:textId="0A2D0FB3" w:rsidR="0031086B" w:rsidRDefault="001518C4" w:rsidP="001518C4">
      <w:r>
        <w:t xml:space="preserve">It </w:t>
      </w:r>
      <w:r w:rsidR="00B72B0C">
        <w:t xml:space="preserve">may </w:t>
      </w:r>
      <w:r>
        <w:t xml:space="preserve">happen that the HO condition is not fulfilled </w:t>
      </w:r>
      <w:r w:rsidR="00266D8A">
        <w:t xml:space="preserve">for a longer time period </w:t>
      </w:r>
      <w:r>
        <w:t xml:space="preserve">and hence the UE stays in the source cell. In this case, the source cell must have the possibility to perform further reconfigurations either to change the UE operation in the current serving cell or to issue a handover to another target cell. </w:t>
      </w:r>
    </w:p>
    <w:p w14:paraId="042F43EB" w14:textId="7DC00018" w:rsidR="008B7B94" w:rsidRDefault="008B7B94" w:rsidP="001518C4">
      <w:r>
        <w:t xml:space="preserve">In this scenario, </w:t>
      </w:r>
      <w:r w:rsidR="0018544C">
        <w:t>the previously received conditional HO command cannot be applied as delta to the new RRCConnectionReconfiguration</w:t>
      </w:r>
      <w:r>
        <w:t xml:space="preserve"> as </w:t>
      </w:r>
      <w:r w:rsidR="003A5227">
        <w:t xml:space="preserve">the </w:t>
      </w:r>
      <w:r>
        <w:t xml:space="preserve">original conditional HO command was built having current RRC configuration in mind. </w:t>
      </w:r>
    </w:p>
    <w:p w14:paraId="056421B4" w14:textId="4FBF85EE" w:rsidR="00AB72DE" w:rsidRDefault="00E84084" w:rsidP="00AB72DE">
      <w:r>
        <w:t xml:space="preserve">A </w:t>
      </w:r>
      <w:r w:rsidR="003A5227">
        <w:t>s</w:t>
      </w:r>
      <w:r w:rsidR="008B7B94">
        <w:t xml:space="preserve">imple solution would be that </w:t>
      </w:r>
      <w:r w:rsidR="0018544C">
        <w:t xml:space="preserve">the UE discards the pending conditional HO command when receiving a subsequent RRCConnectionReconfiguration from its source cell. </w:t>
      </w:r>
      <w:r w:rsidR="00AB72DE">
        <w:t xml:space="preserve">This implies that the source eNB must re-issue the conditional HO command towards the UE. However, as </w:t>
      </w:r>
      <w:r w:rsidR="00614FBD">
        <w:t xml:space="preserve">the </w:t>
      </w:r>
      <w:r w:rsidR="00AB72DE">
        <w:t xml:space="preserve">RRC configuration in the conditional HO command was built by the target eNB, this would imply additional inter-eNB signalling and subsequent Uu signalling. </w:t>
      </w:r>
    </w:p>
    <w:p w14:paraId="6D6DBB79" w14:textId="77777777" w:rsidR="00AB72DE" w:rsidRDefault="00AB72DE" w:rsidP="00AB72DE">
      <w:r>
        <w:t xml:space="preserve">To avoid additional signalling, a better approach is that the UE determines the target cell configuration based on the configuration used at the moment when conditional HO command was received. Basically, the UE builds and stores a “full configuration” from the current RRC configuration and from the delta received in the conditional HO command. If it receives a subsequent </w:t>
      </w:r>
      <w:r w:rsidRPr="00614FBD">
        <w:rPr>
          <w:i/>
        </w:rPr>
        <w:t>RRCConnectionReconfiguration</w:t>
      </w:r>
      <w:r>
        <w:t xml:space="preserve"> for the source cell </w:t>
      </w:r>
      <w:bookmarkStart w:id="62" w:name="_GoBack"/>
      <w:r>
        <w:t xml:space="preserve">before having executed the conditional HO to the target cell, that second reconfiguration impacts only the </w:t>
      </w:r>
      <w:bookmarkEnd w:id="62"/>
      <w:r>
        <w:t xml:space="preserve">operation towards the source cell but not the pending HO command towards the target. Alternatively, the UE can store the RRC context used when receiving conditional HO command and then use that together with the delta received when HO is executed. This is similar to RRC Suspend/Resume procedure where the UE stores the RRC context upon suspend, uses the default configuration for Random Access and then applies the stored configuration as basis for the delta configuration received in the resume command. </w:t>
      </w:r>
    </w:p>
    <w:p w14:paraId="25BDFCEE" w14:textId="77777777" w:rsidR="00AB72DE" w:rsidRDefault="00AB72DE" w:rsidP="00AB72DE">
      <w:pPr>
        <w:pStyle w:val="Proposal"/>
      </w:pPr>
      <w:bookmarkStart w:id="63" w:name="_Ref471492208"/>
      <w:bookmarkStart w:id="64" w:name="_Toc471492269"/>
      <w:bookmarkStart w:id="65" w:name="_Toc471499744"/>
      <w:bookmarkStart w:id="66" w:name="_Toc473533022"/>
      <w:bookmarkStart w:id="67" w:name="_Toc473533373"/>
      <w:bookmarkStart w:id="68" w:name="_Toc477726047"/>
      <w:bookmarkStart w:id="69" w:name="_Toc477972472"/>
      <w:bookmarkStart w:id="70" w:name="_Toc477972567"/>
      <w:bookmarkStart w:id="71" w:name="_Toc477973281"/>
      <w:bookmarkStart w:id="72" w:name="_Toc477973294"/>
      <w:r>
        <w:t xml:space="preserve">Upon reception of a conditional HO command, the </w:t>
      </w:r>
      <w:r w:rsidRPr="009A5D55">
        <w:t>UE determine</w:t>
      </w:r>
      <w:r>
        <w:t>s</w:t>
      </w:r>
      <w:r w:rsidRPr="009A5D55">
        <w:t xml:space="preserve"> </w:t>
      </w:r>
      <w:r>
        <w:t xml:space="preserve">and stores </w:t>
      </w:r>
      <w:r w:rsidRPr="009A5D55">
        <w:t xml:space="preserve">the target cell configuration based on its current configuration and the </w:t>
      </w:r>
      <w:r>
        <w:t>“</w:t>
      </w:r>
      <w:r w:rsidRPr="009A5D55">
        <w:t>delta</w:t>
      </w:r>
      <w:r>
        <w:t>”</w:t>
      </w:r>
      <w:r w:rsidRPr="009A5D55">
        <w:t xml:space="preserve"> received in the </w:t>
      </w:r>
      <w:r w:rsidRPr="00614FBD">
        <w:rPr>
          <w:i/>
        </w:rPr>
        <w:t>RRCConnectionReconfiguration</w:t>
      </w:r>
      <w:r w:rsidRPr="009A5D55">
        <w:t xml:space="preserve"> with </w:t>
      </w:r>
      <w:r w:rsidRPr="00614FBD">
        <w:rPr>
          <w:i/>
        </w:rPr>
        <w:t>mobilityControlInfo</w:t>
      </w:r>
      <w:r w:rsidRPr="009A5D55">
        <w:t>.</w:t>
      </w:r>
      <w:bookmarkEnd w:id="63"/>
      <w:bookmarkEnd w:id="64"/>
      <w:bookmarkEnd w:id="65"/>
      <w:bookmarkEnd w:id="66"/>
      <w:bookmarkEnd w:id="67"/>
      <w:bookmarkEnd w:id="68"/>
      <w:bookmarkEnd w:id="69"/>
      <w:bookmarkEnd w:id="70"/>
      <w:bookmarkEnd w:id="71"/>
      <w:bookmarkEnd w:id="72"/>
      <w:r w:rsidRPr="009A5D55">
        <w:t xml:space="preserve"> </w:t>
      </w:r>
    </w:p>
    <w:p w14:paraId="049D0690" w14:textId="77777777" w:rsidR="00AB72DE" w:rsidRDefault="00AB72DE" w:rsidP="00AB72DE">
      <w:pPr>
        <w:pStyle w:val="Proposal"/>
      </w:pPr>
      <w:bookmarkStart w:id="73" w:name="_Toc471492270"/>
      <w:bookmarkStart w:id="74" w:name="_Toc471499745"/>
      <w:bookmarkStart w:id="75" w:name="_Toc473533023"/>
      <w:bookmarkStart w:id="76" w:name="_Toc473533374"/>
      <w:bookmarkStart w:id="77" w:name="_Toc477726048"/>
      <w:bookmarkStart w:id="78" w:name="_Toc477972473"/>
      <w:bookmarkStart w:id="79" w:name="_Toc477972568"/>
      <w:bookmarkStart w:id="80" w:name="_Toc477973282"/>
      <w:bookmarkStart w:id="81" w:name="_Toc477973295"/>
      <w:r>
        <w:t xml:space="preserve">If the UE receives a subsequent </w:t>
      </w:r>
      <w:r w:rsidRPr="00614FBD">
        <w:rPr>
          <w:i/>
        </w:rPr>
        <w:t>RRCConnectionReconfiguration</w:t>
      </w:r>
      <w:r>
        <w:t xml:space="preserve"> without </w:t>
      </w:r>
      <w:r w:rsidRPr="00614FBD">
        <w:rPr>
          <w:i/>
        </w:rPr>
        <w:t>mobilityControlInfo</w:t>
      </w:r>
      <w:r>
        <w:t xml:space="preserve"> for its source cell, it does not modify or discard the stored target cell configuration of the conditional HO command.</w:t>
      </w:r>
      <w:bookmarkEnd w:id="73"/>
      <w:bookmarkEnd w:id="74"/>
      <w:bookmarkEnd w:id="75"/>
      <w:bookmarkEnd w:id="76"/>
      <w:bookmarkEnd w:id="77"/>
      <w:bookmarkEnd w:id="78"/>
      <w:bookmarkEnd w:id="79"/>
      <w:bookmarkEnd w:id="80"/>
      <w:bookmarkEnd w:id="81"/>
      <w:r>
        <w:t xml:space="preserve"> </w:t>
      </w:r>
    </w:p>
    <w:p w14:paraId="17117C76" w14:textId="4DC0FC9E" w:rsidR="00AB72DE" w:rsidRDefault="00AB72DE" w:rsidP="00AB72DE">
      <w:r>
        <w:t xml:space="preserve">On the other hand, the network may decide to provide a new, updated conditional HO command for a target cell for which it had previously provided a conditional HO command. In this </w:t>
      </w:r>
      <w:r w:rsidR="008B23D2">
        <w:t>case,</w:t>
      </w:r>
      <w:r>
        <w:t xml:space="preserve"> the UE applies that new one instead of the previous one:</w:t>
      </w:r>
    </w:p>
    <w:p w14:paraId="14E06C8C" w14:textId="77777777" w:rsidR="00AB72DE" w:rsidRDefault="00AB72DE" w:rsidP="00AB72DE">
      <w:pPr>
        <w:pStyle w:val="Proposal"/>
      </w:pPr>
      <w:bookmarkStart w:id="82" w:name="_Toc471492271"/>
      <w:bookmarkStart w:id="83" w:name="_Toc471499746"/>
      <w:bookmarkStart w:id="84" w:name="_Toc473533024"/>
      <w:bookmarkStart w:id="85" w:name="_Toc473533375"/>
      <w:bookmarkStart w:id="86" w:name="_Toc477726049"/>
      <w:bookmarkStart w:id="87" w:name="_Toc477972474"/>
      <w:bookmarkStart w:id="88" w:name="_Toc477972569"/>
      <w:bookmarkStart w:id="89" w:name="_Toc477973283"/>
      <w:bookmarkStart w:id="90" w:name="_Toc477973296"/>
      <w:r>
        <w:t>If the UE receives conditional HO command for a target cell for which it has already a pending conditional HO command, it determines the target cell configuration based on its current serving cell configuration and the “delta” in the HO command and uses it to replace the previously stored target cell configuration.</w:t>
      </w:r>
      <w:bookmarkEnd w:id="82"/>
      <w:bookmarkEnd w:id="83"/>
      <w:bookmarkEnd w:id="84"/>
      <w:bookmarkEnd w:id="85"/>
      <w:bookmarkEnd w:id="86"/>
      <w:bookmarkEnd w:id="87"/>
      <w:bookmarkEnd w:id="88"/>
      <w:bookmarkEnd w:id="89"/>
      <w:bookmarkEnd w:id="90"/>
      <w:r>
        <w:t xml:space="preserve"> </w:t>
      </w:r>
    </w:p>
    <w:p w14:paraId="00B0FAC0" w14:textId="77777777" w:rsidR="00AB72DE" w:rsidRDefault="00AB72DE" w:rsidP="00AB72DE">
      <w:r>
        <w:t xml:space="preserve">As mentioned above and discussed in the last meeting, it may be desirable to provide the UE with HO conditions and configurations for several candidate target cells. The principles outlined in the preceding proposals enable that possibility. </w:t>
      </w:r>
    </w:p>
    <w:p w14:paraId="20903A98" w14:textId="4ACF059A" w:rsidR="00AB72DE" w:rsidRDefault="00AB72DE" w:rsidP="00AB72DE">
      <w:pPr>
        <w:pStyle w:val="Proposal"/>
      </w:pPr>
      <w:bookmarkStart w:id="91" w:name="_Toc471492272"/>
      <w:bookmarkStart w:id="92" w:name="_Toc471499747"/>
      <w:bookmarkStart w:id="93" w:name="_Toc473533025"/>
      <w:bookmarkStart w:id="94" w:name="_Toc473533376"/>
      <w:bookmarkStart w:id="95" w:name="_Toc477726050"/>
      <w:bookmarkStart w:id="96" w:name="_Toc477972475"/>
      <w:bookmarkStart w:id="97" w:name="_Toc477972570"/>
      <w:bookmarkStart w:id="98" w:name="_Toc477973284"/>
      <w:bookmarkStart w:id="99" w:name="_Toc477973297"/>
      <w:r>
        <w:t xml:space="preserve">The UE shall be able to evaluate HO conditions for more than one candidate target cell and to store configurations for those (determined individually as described in </w:t>
      </w:r>
      <w:r>
        <w:fldChar w:fldCharType="begin"/>
      </w:r>
      <w:r>
        <w:instrText xml:space="preserve"> REF _Ref471492208 \r \h </w:instrText>
      </w:r>
      <w:r>
        <w:fldChar w:fldCharType="separate"/>
      </w:r>
      <w:r w:rsidR="00A120F2">
        <w:t>Proposal 4</w:t>
      </w:r>
      <w:r>
        <w:fldChar w:fldCharType="end"/>
      </w:r>
      <w:r>
        <w:t>).</w:t>
      </w:r>
      <w:bookmarkEnd w:id="91"/>
      <w:bookmarkEnd w:id="92"/>
      <w:bookmarkEnd w:id="93"/>
      <w:bookmarkEnd w:id="94"/>
      <w:bookmarkEnd w:id="95"/>
      <w:bookmarkEnd w:id="96"/>
      <w:bookmarkEnd w:id="97"/>
      <w:bookmarkEnd w:id="98"/>
      <w:bookmarkEnd w:id="99"/>
    </w:p>
    <w:p w14:paraId="58249E74" w14:textId="77777777" w:rsidR="00AB72DE" w:rsidRDefault="00AB72DE" w:rsidP="00AB72DE">
      <w:r>
        <w:t>Having to coordinate with several target nodes may increase the network complexity. However, those aspects could be discussed in RAN3 or left for network implementation.</w:t>
      </w:r>
    </w:p>
    <w:p w14:paraId="634F756A" w14:textId="77777777" w:rsidR="007658F2" w:rsidRDefault="00AB72DE" w:rsidP="007658F2">
      <w:r>
        <w:lastRenderedPageBreak/>
        <w:t xml:space="preserve">Of course, the UE should not be required to store the configuration for the target cell and to evaluate the measurement condition for an unlimited time. As soon as the UE executes a handover it should discard all pending conditional HO commands and the configurations associated with them. This could be the case if the </w:t>
      </w:r>
      <w:r w:rsidR="00614FBD">
        <w:t>network</w:t>
      </w:r>
      <w:r>
        <w:t xml:space="preserve"> had provided multiple conditional HO commands for several candidate target cells. But it would also apply when the NW triggers an intra-cell handover to refresh e.g. the security keys. </w:t>
      </w:r>
      <w:bookmarkStart w:id="100" w:name="_Toc471492273"/>
      <w:bookmarkStart w:id="101" w:name="_Toc471499748"/>
      <w:bookmarkStart w:id="102" w:name="_Toc471501322"/>
      <w:bookmarkStart w:id="103" w:name="_Toc473532944"/>
      <w:bookmarkStart w:id="104" w:name="_Toc473533026"/>
      <w:bookmarkStart w:id="105" w:name="_Toc473533377"/>
    </w:p>
    <w:p w14:paraId="4239116C" w14:textId="7A583F4B" w:rsidR="005F7F4F" w:rsidRDefault="005F7F4F" w:rsidP="007658F2">
      <w:pPr>
        <w:pStyle w:val="Proposal"/>
      </w:pPr>
      <w:bookmarkStart w:id="106" w:name="_Toc477726051"/>
      <w:bookmarkStart w:id="107" w:name="_Toc477972476"/>
      <w:bookmarkStart w:id="108" w:name="_Toc477972571"/>
      <w:bookmarkStart w:id="109" w:name="_Toc477973285"/>
      <w:bookmarkStart w:id="110" w:name="_Toc477973298"/>
      <w:r>
        <w:t xml:space="preserve">The UE discards all pending conditional HO commands when executing an </w:t>
      </w:r>
      <w:r w:rsidRPr="00614FBD">
        <w:rPr>
          <w:i/>
        </w:rPr>
        <w:t>RRCConnectionReconfiguration</w:t>
      </w:r>
      <w:r w:rsidR="005D2E77">
        <w:t xml:space="preserve"> </w:t>
      </w:r>
      <w:r w:rsidR="00AB72DE">
        <w:t xml:space="preserve">with </w:t>
      </w:r>
      <w:r w:rsidR="00AB72DE" w:rsidRPr="00614FBD">
        <w:rPr>
          <w:i/>
        </w:rPr>
        <w:t>mobilityControlInfo</w:t>
      </w:r>
      <w:r w:rsidR="00AB72DE">
        <w:t xml:space="preserve"> (conditional or regular; to source cell or to any neighbour cell)</w:t>
      </w:r>
      <w:r>
        <w:t>.</w:t>
      </w:r>
      <w:bookmarkEnd w:id="100"/>
      <w:bookmarkEnd w:id="101"/>
      <w:bookmarkEnd w:id="102"/>
      <w:bookmarkEnd w:id="103"/>
      <w:bookmarkEnd w:id="104"/>
      <w:bookmarkEnd w:id="105"/>
      <w:bookmarkEnd w:id="106"/>
      <w:bookmarkEnd w:id="107"/>
      <w:bookmarkEnd w:id="108"/>
      <w:bookmarkEnd w:id="109"/>
      <w:bookmarkEnd w:id="110"/>
    </w:p>
    <w:p w14:paraId="7CA9BB9D" w14:textId="7AF9782C" w:rsidR="005F7F4F" w:rsidRDefault="00074231" w:rsidP="00074231">
      <w:r>
        <w:t>The target cell awaits the UE for which it generated a conditional HO command and it ma</w:t>
      </w:r>
      <w:r w:rsidR="00614FBD">
        <w:t>y have reserved resources for it</w:t>
      </w:r>
      <w:r>
        <w:t xml:space="preserve"> (CF RA; admission control; …). Therefore, the network should have means to constrain the time for which the HO command remains valid. </w:t>
      </w:r>
    </w:p>
    <w:p w14:paraId="3C951544" w14:textId="1949BAE9" w:rsidR="00074231" w:rsidRDefault="00074231" w:rsidP="00074231">
      <w:pPr>
        <w:pStyle w:val="Proposal"/>
      </w:pPr>
      <w:bookmarkStart w:id="111" w:name="_Toc471492274"/>
      <w:bookmarkStart w:id="112" w:name="_Toc471499749"/>
      <w:bookmarkStart w:id="113" w:name="_Toc471501323"/>
      <w:bookmarkStart w:id="114" w:name="_Toc473532945"/>
      <w:bookmarkStart w:id="115" w:name="_Toc473533027"/>
      <w:bookmarkStart w:id="116" w:name="_Toc473533378"/>
      <w:bookmarkStart w:id="117" w:name="_Toc477726052"/>
      <w:bookmarkStart w:id="118" w:name="_Toc477972477"/>
      <w:bookmarkStart w:id="119" w:name="_Toc477972572"/>
      <w:bookmarkStart w:id="120" w:name="_Toc477973286"/>
      <w:bookmarkStart w:id="121" w:name="_Toc477973299"/>
      <w:r>
        <w:t>The UE discards a pending conditional HO command when the condition has not been met within the validity period indicated in the HO command.</w:t>
      </w:r>
      <w:bookmarkEnd w:id="111"/>
      <w:bookmarkEnd w:id="112"/>
      <w:bookmarkEnd w:id="113"/>
      <w:bookmarkEnd w:id="114"/>
      <w:bookmarkEnd w:id="115"/>
      <w:bookmarkEnd w:id="116"/>
      <w:bookmarkEnd w:id="117"/>
      <w:bookmarkEnd w:id="118"/>
      <w:bookmarkEnd w:id="119"/>
      <w:bookmarkEnd w:id="120"/>
      <w:bookmarkEnd w:id="121"/>
    </w:p>
    <w:p w14:paraId="3C942EC6" w14:textId="1A30A4B5" w:rsidR="00DC6261" w:rsidRDefault="00DC6261" w:rsidP="00DC6261">
      <w:r>
        <w:t xml:space="preserve">We think that a procedure per the proposals in this section avoids any race conditions and does not suffer from problems as observed with the Activation Time in UMTS. </w:t>
      </w:r>
    </w:p>
    <w:p w14:paraId="572B6C40" w14:textId="0AACDC53" w:rsidR="00182866" w:rsidRDefault="00182866" w:rsidP="00DC6261">
      <w:r>
        <w:t xml:space="preserve">Besides the race condition some companies questioned the usefulness of the conditional handover and raised that similar mechanisms were standardized but not used in </w:t>
      </w:r>
      <w:r w:rsidRPr="006A2F2F">
        <w:t xml:space="preserve">GSM </w:t>
      </w:r>
      <w:r>
        <w:t xml:space="preserve">and </w:t>
      </w:r>
      <w:r w:rsidRPr="006A2F2F">
        <w:t xml:space="preserve">UTRAN. </w:t>
      </w:r>
      <w:r>
        <w:t>We would like to point out that</w:t>
      </w:r>
      <w:r w:rsidRPr="006A2F2F">
        <w:t>, in both systems the handover command was not associated with a measurement condition but just with a time</w:t>
      </w:r>
      <w:r>
        <w:t>, which can obviously not address the problem in the same way as a measurement condition</w:t>
      </w:r>
      <w:r w:rsidRPr="006A2F2F">
        <w:t>: To trigger the handover early (when the link from the source cell to the UE is still good) the serving cell must configure a low A3 event threshold. But as identified in the Rel-11/12 studies, there is a significant risk that the UE does finally not move to a cell that was identified by such a low threshold. RAN2 observed this as increased number of ping-pong. With a delayed handover command,</w:t>
      </w:r>
      <w:r>
        <w:t xml:space="preserve"> it may instead result in HOF, i.e., the </w:t>
      </w:r>
      <w:r w:rsidRPr="006A2F2F">
        <w:t>UE fails to connect to target since it has already moved back to the source when the delayed HO command is due. Therefore, we agree with other companies that raised concerns that the old UMTS/GERAN mechanism was not suitable and that it should not be introduced in NR in that way.</w:t>
      </w:r>
      <w:r>
        <w:t xml:space="preserve"> Nevertheless, a solution using a measurement condition is expected to address and resolve the issues identified in earlier studies. </w:t>
      </w:r>
    </w:p>
    <w:p w14:paraId="7E690B51" w14:textId="77777777" w:rsidR="00C01F33" w:rsidRPr="00CE0424" w:rsidRDefault="00C01F33" w:rsidP="00CE0424">
      <w:pPr>
        <w:pStyle w:val="Heading1"/>
      </w:pPr>
      <w:r w:rsidRPr="00CE0424">
        <w:t>Conclusion</w:t>
      </w:r>
    </w:p>
    <w:p w14:paraId="28F923E5" w14:textId="77777777" w:rsidR="00A120F2" w:rsidRDefault="008E065E">
      <w:pPr>
        <w:pStyle w:val="TOC1"/>
      </w:pPr>
      <w:r w:rsidRPr="00C628DF">
        <w:rPr>
          <w:b w:val="0"/>
        </w:rPr>
        <w:t xml:space="preserve">In section </w:t>
      </w:r>
      <w:r w:rsidR="00182866">
        <w:rPr>
          <w:b w:val="0"/>
        </w:rPr>
        <w:fldChar w:fldCharType="begin"/>
      </w:r>
      <w:r w:rsidR="00182866">
        <w:rPr>
          <w:b w:val="0"/>
        </w:rPr>
        <w:instrText xml:space="preserve"> REF _Ref477972447 \r \h </w:instrText>
      </w:r>
      <w:r w:rsidR="00182866">
        <w:rPr>
          <w:b w:val="0"/>
        </w:rPr>
      </w:r>
      <w:r w:rsidR="00182866">
        <w:rPr>
          <w:b w:val="0"/>
        </w:rPr>
        <w:fldChar w:fldCharType="separate"/>
      </w:r>
      <w:r w:rsidR="00A120F2">
        <w:rPr>
          <w:b w:val="0"/>
        </w:rPr>
        <w:t>2</w:t>
      </w:r>
      <w:r w:rsidR="00182866">
        <w:rPr>
          <w:b w:val="0"/>
        </w:rPr>
        <w:fldChar w:fldCharType="end"/>
      </w:r>
      <w:r w:rsidR="00182866">
        <w:rPr>
          <w:b w:val="0"/>
        </w:rPr>
        <w:t xml:space="preserve"> </w:t>
      </w:r>
      <w:r w:rsidRPr="00C628DF">
        <w:rPr>
          <w:b w:val="0"/>
        </w:rPr>
        <w:t>we made the following observations:</w:t>
      </w:r>
      <w:r>
        <w:rPr>
          <w:b w:val="0"/>
          <w:bCs/>
        </w:rPr>
        <w:fldChar w:fldCharType="begin"/>
      </w:r>
      <w:r w:rsidRPr="00C628DF">
        <w:rPr>
          <w:b w:val="0"/>
          <w:bCs/>
        </w:rPr>
        <w:instrText xml:space="preserve"> TOC \f \n \t "Observation;1" </w:instrText>
      </w:r>
      <w:r>
        <w:rPr>
          <w:b w:val="0"/>
          <w:bCs/>
        </w:rPr>
        <w:fldChar w:fldCharType="separate"/>
      </w:r>
    </w:p>
    <w:p w14:paraId="78E2BFDC" w14:textId="77777777" w:rsidR="00A120F2" w:rsidRPr="00A120F2" w:rsidRDefault="00A120F2">
      <w:pPr>
        <w:pStyle w:val="TOC1"/>
        <w:rPr>
          <w:rFonts w:asciiTheme="minorHAnsi" w:eastAsiaTheme="minorEastAsia" w:hAnsiTheme="minorHAnsi" w:cstheme="minorBidi"/>
          <w:b w:val="0"/>
          <w:sz w:val="22"/>
          <w:lang w:val="en-GB" w:eastAsia="de-DE"/>
        </w:rPr>
      </w:pPr>
      <w:r w:rsidRPr="00A61801">
        <w:t>Observation 1</w:t>
      </w:r>
      <w:r w:rsidRPr="00A120F2">
        <w:rPr>
          <w:rFonts w:asciiTheme="minorHAnsi" w:eastAsiaTheme="minorEastAsia" w:hAnsiTheme="minorHAnsi" w:cstheme="minorBidi"/>
          <w:b w:val="0"/>
          <w:sz w:val="22"/>
          <w:lang w:val="en-GB" w:eastAsia="de-DE"/>
        </w:rPr>
        <w:tab/>
      </w:r>
      <w:r w:rsidRPr="00A61801">
        <w:t>In some NR deployments and scenarios, the probability of HO failure could increase due to the dependency on the RRC signaling transmissions over the source node at a time when the UE has already moved into the coverage area of the target cell.</w:t>
      </w:r>
    </w:p>
    <w:p w14:paraId="5C342F4B" w14:textId="77777777" w:rsidR="008E065E" w:rsidRDefault="008E065E" w:rsidP="008E065E">
      <w:pPr>
        <w:pStyle w:val="BodyText"/>
        <w:rPr>
          <w:b/>
          <w:bCs/>
        </w:rPr>
      </w:pPr>
      <w:r>
        <w:rPr>
          <w:b/>
          <w:bCs/>
        </w:rPr>
        <w:fldChar w:fldCharType="end"/>
      </w:r>
    </w:p>
    <w:p w14:paraId="4BF41E35" w14:textId="77777777" w:rsidR="00A120F2" w:rsidRDefault="008E065E">
      <w:pPr>
        <w:pStyle w:val="TOC1"/>
      </w:pPr>
      <w:r w:rsidRPr="00C628DF">
        <w:rPr>
          <w:b w:val="0"/>
        </w:rPr>
        <w:lastRenderedPageBreak/>
        <w:t xml:space="preserve">Based on the discussion in section </w:t>
      </w:r>
      <w:r w:rsidR="00182866">
        <w:rPr>
          <w:b w:val="0"/>
          <w:highlight w:val="cyan"/>
        </w:rPr>
        <w:fldChar w:fldCharType="begin"/>
      </w:r>
      <w:r w:rsidR="00182866">
        <w:rPr>
          <w:b w:val="0"/>
        </w:rPr>
        <w:instrText xml:space="preserve"> REF _Ref477972447 \r \h </w:instrText>
      </w:r>
      <w:r w:rsidR="00182866">
        <w:rPr>
          <w:b w:val="0"/>
          <w:highlight w:val="cyan"/>
        </w:rPr>
      </w:r>
      <w:r w:rsidR="00182866">
        <w:rPr>
          <w:b w:val="0"/>
          <w:highlight w:val="cyan"/>
        </w:rPr>
        <w:fldChar w:fldCharType="separate"/>
      </w:r>
      <w:r w:rsidR="00A120F2">
        <w:rPr>
          <w:b w:val="0"/>
        </w:rPr>
        <w:t>2</w:t>
      </w:r>
      <w:r w:rsidR="00182866">
        <w:rPr>
          <w:b w:val="0"/>
          <w:highlight w:val="cyan"/>
        </w:rPr>
        <w:fldChar w:fldCharType="end"/>
      </w:r>
      <w:r w:rsidR="00182866">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6F37BC7B" w14:textId="77777777" w:rsidR="00A120F2" w:rsidRPr="00A120F2" w:rsidRDefault="00A120F2">
      <w:pPr>
        <w:pStyle w:val="TOC1"/>
        <w:rPr>
          <w:rFonts w:asciiTheme="minorHAnsi" w:eastAsiaTheme="minorEastAsia" w:hAnsiTheme="minorHAnsi" w:cstheme="minorBidi"/>
          <w:b w:val="0"/>
          <w:sz w:val="22"/>
          <w:lang w:val="en-GB" w:eastAsia="de-DE"/>
        </w:rPr>
      </w:pPr>
      <w:r>
        <w:t>Proposal 1</w:t>
      </w:r>
      <w:r w:rsidRPr="00A120F2">
        <w:rPr>
          <w:rFonts w:asciiTheme="minorHAnsi" w:eastAsiaTheme="minorEastAsia" w:hAnsiTheme="minorHAnsi" w:cstheme="minorBidi"/>
          <w:b w:val="0"/>
          <w:sz w:val="22"/>
          <w:lang w:val="en-GB" w:eastAsia="de-DE"/>
        </w:rPr>
        <w:tab/>
      </w:r>
      <w:r>
        <w:t>NR should offer the possibility to associate the HO command (RRCConnectionReconfiguration with mobilityControlInfo) with a condition. As soon as the UE determines the condition to be fulfilled, it executes the handover in accordance with the handover command.</w:t>
      </w:r>
    </w:p>
    <w:p w14:paraId="4846A3BC" w14:textId="77777777" w:rsidR="00A120F2" w:rsidRPr="00A120F2" w:rsidRDefault="00A120F2">
      <w:pPr>
        <w:pStyle w:val="TOC1"/>
        <w:rPr>
          <w:rFonts w:asciiTheme="minorHAnsi" w:eastAsiaTheme="minorEastAsia" w:hAnsiTheme="minorHAnsi" w:cstheme="minorBidi"/>
          <w:b w:val="0"/>
          <w:sz w:val="22"/>
          <w:lang w:val="en-GB" w:eastAsia="de-DE"/>
        </w:rPr>
      </w:pPr>
      <w:r>
        <w:t>Proposal 2</w:t>
      </w:r>
      <w:r w:rsidRPr="00A120F2">
        <w:rPr>
          <w:rFonts w:asciiTheme="minorHAnsi" w:eastAsiaTheme="minorEastAsia" w:hAnsiTheme="minorHAnsi" w:cstheme="minorBidi"/>
          <w:b w:val="0"/>
          <w:sz w:val="22"/>
          <w:lang w:val="en-GB" w:eastAsia="de-DE"/>
        </w:rPr>
        <w:tab/>
      </w:r>
      <w:r>
        <w:t>When the UE receives a “conditional HO command” it starts evaluating the condition while continuing operating per its current RRC configuration, i.e., without applying the RRCConnectionReconfiguration.</w:t>
      </w:r>
    </w:p>
    <w:p w14:paraId="5904303F" w14:textId="77777777" w:rsidR="00A120F2" w:rsidRPr="00A120F2" w:rsidRDefault="00A120F2">
      <w:pPr>
        <w:pStyle w:val="TOC1"/>
        <w:rPr>
          <w:rFonts w:asciiTheme="minorHAnsi" w:eastAsiaTheme="minorEastAsia" w:hAnsiTheme="minorHAnsi" w:cstheme="minorBidi"/>
          <w:b w:val="0"/>
          <w:sz w:val="22"/>
          <w:lang w:val="en-GB" w:eastAsia="de-DE"/>
        </w:rPr>
      </w:pPr>
      <w:r>
        <w:t>Proposal 3</w:t>
      </w:r>
      <w:r w:rsidRPr="00A120F2">
        <w:rPr>
          <w:rFonts w:asciiTheme="minorHAnsi" w:eastAsiaTheme="minorEastAsia" w:hAnsiTheme="minorHAnsi" w:cstheme="minorBidi"/>
          <w:b w:val="0"/>
          <w:sz w:val="22"/>
          <w:lang w:val="en-GB" w:eastAsia="de-DE"/>
        </w:rPr>
        <w:tab/>
      </w:r>
      <w:r>
        <w:t>When the HO condition is fulfilled, the UE applies the RRCConnectionReconfiguration including mobilityControlInfo. It synchronizes to the target cell and shall not process any subsequent RRCConnectionReconfiguration messages received from the source cell prior to the HO execution.</w:t>
      </w:r>
    </w:p>
    <w:p w14:paraId="10BBCFA2" w14:textId="77777777" w:rsidR="00A120F2" w:rsidRPr="00A120F2" w:rsidRDefault="00A120F2">
      <w:pPr>
        <w:pStyle w:val="TOC1"/>
        <w:rPr>
          <w:rFonts w:asciiTheme="minorHAnsi" w:eastAsiaTheme="minorEastAsia" w:hAnsiTheme="minorHAnsi" w:cstheme="minorBidi"/>
          <w:b w:val="0"/>
          <w:sz w:val="22"/>
          <w:lang w:val="en-GB" w:eastAsia="de-DE"/>
        </w:rPr>
      </w:pPr>
      <w:r>
        <w:t>Proposal 4</w:t>
      </w:r>
      <w:r w:rsidRPr="00A120F2">
        <w:rPr>
          <w:rFonts w:asciiTheme="minorHAnsi" w:eastAsiaTheme="minorEastAsia" w:hAnsiTheme="minorHAnsi" w:cstheme="minorBidi"/>
          <w:b w:val="0"/>
          <w:sz w:val="22"/>
          <w:lang w:val="en-GB" w:eastAsia="de-DE"/>
        </w:rPr>
        <w:tab/>
      </w:r>
      <w:r>
        <w:t xml:space="preserve">Upon reception of a conditional HO command, the UE determines and stores the target cell configuration based on its current configuration and the “delta” received in the </w:t>
      </w:r>
      <w:r w:rsidRPr="0014712C">
        <w:rPr>
          <w:i/>
        </w:rPr>
        <w:t>RRCConnectionReconfiguration</w:t>
      </w:r>
      <w:r>
        <w:t xml:space="preserve"> with </w:t>
      </w:r>
      <w:r w:rsidRPr="0014712C">
        <w:rPr>
          <w:i/>
        </w:rPr>
        <w:t>mobilityControlInfo</w:t>
      </w:r>
      <w:r>
        <w:t>.</w:t>
      </w:r>
    </w:p>
    <w:p w14:paraId="10193F2A" w14:textId="77777777" w:rsidR="00A120F2" w:rsidRPr="00A120F2" w:rsidRDefault="00A120F2">
      <w:pPr>
        <w:pStyle w:val="TOC1"/>
        <w:rPr>
          <w:rFonts w:asciiTheme="minorHAnsi" w:eastAsiaTheme="minorEastAsia" w:hAnsiTheme="minorHAnsi" w:cstheme="minorBidi"/>
          <w:b w:val="0"/>
          <w:sz w:val="22"/>
          <w:lang w:val="en-GB" w:eastAsia="de-DE"/>
        </w:rPr>
      </w:pPr>
      <w:r>
        <w:t>Proposal 5</w:t>
      </w:r>
      <w:r w:rsidRPr="00A120F2">
        <w:rPr>
          <w:rFonts w:asciiTheme="minorHAnsi" w:eastAsiaTheme="minorEastAsia" w:hAnsiTheme="minorHAnsi" w:cstheme="minorBidi"/>
          <w:b w:val="0"/>
          <w:sz w:val="22"/>
          <w:lang w:val="en-GB" w:eastAsia="de-DE"/>
        </w:rPr>
        <w:tab/>
      </w:r>
      <w:r>
        <w:t xml:space="preserve">If the UE receives a subsequent </w:t>
      </w:r>
      <w:r w:rsidRPr="0014712C">
        <w:rPr>
          <w:i/>
        </w:rPr>
        <w:t>RRCConnectionReconfiguration</w:t>
      </w:r>
      <w:r>
        <w:t xml:space="preserve"> without </w:t>
      </w:r>
      <w:r w:rsidRPr="0014712C">
        <w:rPr>
          <w:i/>
        </w:rPr>
        <w:t>mobilityControlInfo</w:t>
      </w:r>
      <w:r>
        <w:t xml:space="preserve"> for its source cell, it does not modify or discard the stored target cell configuration of the conditional HO command.</w:t>
      </w:r>
    </w:p>
    <w:p w14:paraId="3398E269" w14:textId="77777777" w:rsidR="00A120F2" w:rsidRPr="00A120F2" w:rsidRDefault="00A120F2">
      <w:pPr>
        <w:pStyle w:val="TOC1"/>
        <w:rPr>
          <w:rFonts w:asciiTheme="minorHAnsi" w:eastAsiaTheme="minorEastAsia" w:hAnsiTheme="minorHAnsi" w:cstheme="minorBidi"/>
          <w:b w:val="0"/>
          <w:sz w:val="22"/>
          <w:lang w:val="en-GB" w:eastAsia="de-DE"/>
        </w:rPr>
      </w:pPr>
      <w:r>
        <w:t>Proposal 6</w:t>
      </w:r>
      <w:r w:rsidRPr="00A120F2">
        <w:rPr>
          <w:rFonts w:asciiTheme="minorHAnsi" w:eastAsiaTheme="minorEastAsia" w:hAnsiTheme="minorHAnsi" w:cstheme="minorBidi"/>
          <w:b w:val="0"/>
          <w:sz w:val="22"/>
          <w:lang w:val="en-GB" w:eastAsia="de-DE"/>
        </w:rPr>
        <w:tab/>
      </w:r>
      <w:r>
        <w:t>If the UE receives conditional HO command for a target cell for which it has already a pending conditional HO command, it determines the target cell configuration based on its current serving cell configuration and the “delta” in the HO command and uses it to replace the previously stored target cell configuration.</w:t>
      </w:r>
    </w:p>
    <w:p w14:paraId="0B3299CF" w14:textId="77777777" w:rsidR="00A120F2" w:rsidRPr="00A120F2" w:rsidRDefault="00A120F2">
      <w:pPr>
        <w:pStyle w:val="TOC1"/>
        <w:rPr>
          <w:rFonts w:asciiTheme="minorHAnsi" w:eastAsiaTheme="minorEastAsia" w:hAnsiTheme="minorHAnsi" w:cstheme="minorBidi"/>
          <w:b w:val="0"/>
          <w:sz w:val="22"/>
          <w:lang w:val="en-GB" w:eastAsia="de-DE"/>
        </w:rPr>
      </w:pPr>
      <w:r>
        <w:t>Proposal 7</w:t>
      </w:r>
      <w:r w:rsidRPr="00A120F2">
        <w:rPr>
          <w:rFonts w:asciiTheme="minorHAnsi" w:eastAsiaTheme="minorEastAsia" w:hAnsiTheme="minorHAnsi" w:cstheme="minorBidi"/>
          <w:b w:val="0"/>
          <w:sz w:val="22"/>
          <w:lang w:val="en-GB" w:eastAsia="de-DE"/>
        </w:rPr>
        <w:tab/>
      </w:r>
      <w:r>
        <w:t>The UE shall be able to evaluate HO conditions for more than one candidate target cell and to store configurations for those (determined individually as described in Proposal 4).</w:t>
      </w:r>
    </w:p>
    <w:p w14:paraId="2F434E80" w14:textId="77777777" w:rsidR="00A120F2" w:rsidRPr="00A120F2" w:rsidRDefault="00A120F2">
      <w:pPr>
        <w:pStyle w:val="TOC1"/>
        <w:rPr>
          <w:rFonts w:asciiTheme="minorHAnsi" w:eastAsiaTheme="minorEastAsia" w:hAnsiTheme="minorHAnsi" w:cstheme="minorBidi"/>
          <w:b w:val="0"/>
          <w:sz w:val="22"/>
          <w:lang w:val="en-GB" w:eastAsia="de-DE"/>
        </w:rPr>
      </w:pPr>
      <w:r>
        <w:t>Proposal 8</w:t>
      </w:r>
      <w:r w:rsidRPr="00A120F2">
        <w:rPr>
          <w:rFonts w:asciiTheme="minorHAnsi" w:eastAsiaTheme="minorEastAsia" w:hAnsiTheme="minorHAnsi" w:cstheme="minorBidi"/>
          <w:b w:val="0"/>
          <w:sz w:val="22"/>
          <w:lang w:val="en-GB" w:eastAsia="de-DE"/>
        </w:rPr>
        <w:tab/>
      </w:r>
      <w:r>
        <w:t xml:space="preserve">The UE discards all pending conditional HO commands when executing an </w:t>
      </w:r>
      <w:r w:rsidRPr="0014712C">
        <w:rPr>
          <w:i/>
        </w:rPr>
        <w:t>RRCConnectionReconfiguration</w:t>
      </w:r>
      <w:r>
        <w:t xml:space="preserve"> with </w:t>
      </w:r>
      <w:r w:rsidRPr="0014712C">
        <w:rPr>
          <w:i/>
        </w:rPr>
        <w:t>mobilityControlInfo</w:t>
      </w:r>
      <w:r>
        <w:t xml:space="preserve"> (conditional or regular; to source cell or to any neighbour cell).</w:t>
      </w:r>
    </w:p>
    <w:p w14:paraId="44275619" w14:textId="77777777" w:rsidR="00A120F2" w:rsidRPr="00A120F2" w:rsidRDefault="00A120F2">
      <w:pPr>
        <w:pStyle w:val="TOC1"/>
        <w:rPr>
          <w:rFonts w:asciiTheme="minorHAnsi" w:eastAsiaTheme="minorEastAsia" w:hAnsiTheme="minorHAnsi" w:cstheme="minorBidi"/>
          <w:b w:val="0"/>
          <w:sz w:val="22"/>
          <w:lang w:val="en-GB" w:eastAsia="de-DE"/>
        </w:rPr>
      </w:pPr>
      <w:r>
        <w:t>Proposal 9</w:t>
      </w:r>
      <w:r w:rsidRPr="00A120F2">
        <w:rPr>
          <w:rFonts w:asciiTheme="minorHAnsi" w:eastAsiaTheme="minorEastAsia" w:hAnsiTheme="minorHAnsi" w:cstheme="minorBidi"/>
          <w:b w:val="0"/>
          <w:sz w:val="22"/>
          <w:lang w:val="en-GB" w:eastAsia="de-DE"/>
        </w:rPr>
        <w:tab/>
      </w:r>
      <w:r>
        <w:t>The UE discards a pending conditional HO command when the condition has not been met within the validity period indicated in the HO command.</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122" w:name="_In-sequence_SDU_delivery"/>
      <w:bookmarkEnd w:id="122"/>
      <w:r w:rsidRPr="00CE0424">
        <w:t>References</w:t>
      </w:r>
    </w:p>
    <w:bookmarkStart w:id="123" w:name="_Ref477726095"/>
    <w:p w14:paraId="586C81F6" w14:textId="4E10EDB1" w:rsidR="00E25A33" w:rsidRDefault="00E25A33" w:rsidP="00E25A33">
      <w:pPr>
        <w:pStyle w:val="Reference"/>
      </w:pPr>
      <w:r>
        <w:fldChar w:fldCharType="begin"/>
      </w:r>
      <w:r>
        <w:instrText xml:space="preserve"> HYPERLINK "ftp://ftp.3gpp.org/tsg_ran/WG2_RL2/TSGR2_97/Docs//R2-1700864.zip" </w:instrText>
      </w:r>
      <w:r>
        <w:fldChar w:fldCharType="separate"/>
      </w:r>
      <w:r w:rsidRPr="00E25A33">
        <w:rPr>
          <w:rStyle w:val="Hyperlink"/>
        </w:rPr>
        <w:t>R2-1700864</w:t>
      </w:r>
      <w:r>
        <w:fldChar w:fldCharType="end"/>
      </w:r>
      <w:r>
        <w:t xml:space="preserve">, </w:t>
      </w:r>
      <w:r w:rsidRPr="00E25A33">
        <w:t>Conditional Handover</w:t>
      </w:r>
      <w:r>
        <w:t xml:space="preserve">, Ericsson, RAN2-97, </w:t>
      </w:r>
      <w:r w:rsidRPr="00E25A33">
        <w:t>Athens, Greece, 13th – 17th February 2017</w:t>
      </w:r>
      <w:bookmarkEnd w:id="123"/>
    </w:p>
    <w:bookmarkStart w:id="124" w:name="_Ref477970055"/>
    <w:p w14:paraId="389DCB46" w14:textId="59F9DCEA" w:rsidR="00E25A33" w:rsidRPr="00CE0424" w:rsidRDefault="00D53AC4" w:rsidP="00E25A33">
      <w:pPr>
        <w:pStyle w:val="Reference"/>
      </w:pPr>
      <w:r>
        <w:fldChar w:fldCharType="begin"/>
      </w:r>
      <w: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t xml:space="preserve">, </w:t>
      </w:r>
      <w:r w:rsidR="00E25A33" w:rsidRPr="00E25A33">
        <w:t>NW controlled autonomous handover in single connectivity</w:t>
      </w:r>
      <w:r w:rsidR="00E25A33">
        <w:t xml:space="preserve">, </w:t>
      </w:r>
      <w:r w:rsidR="00E25A33" w:rsidRPr="00E25A33">
        <w:t>Intel Corporation</w:t>
      </w:r>
      <w:r w:rsidR="00E25A33">
        <w:t xml:space="preserve">, RAN2-97, </w:t>
      </w:r>
      <w:r w:rsidR="00E25A33" w:rsidRPr="00E25A33">
        <w:t>Athens, Greece, 13th – 17th February 2017</w:t>
      </w:r>
      <w:bookmarkEnd w:id="124"/>
      <w:r w:rsidR="00E25A33">
        <w:t xml:space="preserve"> </w:t>
      </w:r>
    </w:p>
    <w:sectPr w:rsidR="00E25A3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18F52" w14:textId="77777777" w:rsidR="003C18FA" w:rsidRDefault="003C18FA">
      <w:r>
        <w:separator/>
      </w:r>
    </w:p>
  </w:endnote>
  <w:endnote w:type="continuationSeparator" w:id="0">
    <w:p w14:paraId="283106FB" w14:textId="77777777" w:rsidR="003C18FA" w:rsidRDefault="003C1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E0D9451"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A4E9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4E9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1B8E9" w14:textId="77777777" w:rsidR="003C18FA" w:rsidRDefault="003C18FA">
      <w:r>
        <w:separator/>
      </w:r>
    </w:p>
  </w:footnote>
  <w:footnote w:type="continuationSeparator" w:id="0">
    <w:p w14:paraId="75F43153" w14:textId="77777777" w:rsidR="003C18FA" w:rsidRDefault="003C1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1741E"/>
    <w:rsid w:val="0002564D"/>
    <w:rsid w:val="00025ECA"/>
    <w:rsid w:val="00027939"/>
    <w:rsid w:val="000325B8"/>
    <w:rsid w:val="00034C15"/>
    <w:rsid w:val="00036BA1"/>
    <w:rsid w:val="000422E2"/>
    <w:rsid w:val="00042F22"/>
    <w:rsid w:val="000444EF"/>
    <w:rsid w:val="00052A07"/>
    <w:rsid w:val="000534E3"/>
    <w:rsid w:val="00054F93"/>
    <w:rsid w:val="0005606A"/>
    <w:rsid w:val="00057117"/>
    <w:rsid w:val="000616E7"/>
    <w:rsid w:val="0006487E"/>
    <w:rsid w:val="00065E1A"/>
    <w:rsid w:val="00067548"/>
    <w:rsid w:val="00074231"/>
    <w:rsid w:val="00077E5F"/>
    <w:rsid w:val="0008036A"/>
    <w:rsid w:val="00081AE6"/>
    <w:rsid w:val="000855EB"/>
    <w:rsid w:val="00085B52"/>
    <w:rsid w:val="000866F2"/>
    <w:rsid w:val="0009009F"/>
    <w:rsid w:val="00091557"/>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D0D07"/>
    <w:rsid w:val="000D370D"/>
    <w:rsid w:val="000D4797"/>
    <w:rsid w:val="000E0527"/>
    <w:rsid w:val="000E1E92"/>
    <w:rsid w:val="000F06D6"/>
    <w:rsid w:val="000F0EB1"/>
    <w:rsid w:val="000F1106"/>
    <w:rsid w:val="000F3BE9"/>
    <w:rsid w:val="000F3F6C"/>
    <w:rsid w:val="000F6DF3"/>
    <w:rsid w:val="001005FF"/>
    <w:rsid w:val="00104BCD"/>
    <w:rsid w:val="001062FB"/>
    <w:rsid w:val="001063E6"/>
    <w:rsid w:val="00113CF4"/>
    <w:rsid w:val="001140DC"/>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3A8E"/>
    <w:rsid w:val="00173B39"/>
    <w:rsid w:val="00177795"/>
    <w:rsid w:val="0018143F"/>
    <w:rsid w:val="00182866"/>
    <w:rsid w:val="0018544C"/>
    <w:rsid w:val="00190AC1"/>
    <w:rsid w:val="001915AE"/>
    <w:rsid w:val="0019341A"/>
    <w:rsid w:val="00197DF9"/>
    <w:rsid w:val="001A1987"/>
    <w:rsid w:val="001A2564"/>
    <w:rsid w:val="001A43F1"/>
    <w:rsid w:val="001A6173"/>
    <w:rsid w:val="001A6CBA"/>
    <w:rsid w:val="001B0D97"/>
    <w:rsid w:val="001B5A5D"/>
    <w:rsid w:val="001C1CE5"/>
    <w:rsid w:val="001C3D2A"/>
    <w:rsid w:val="001C6495"/>
    <w:rsid w:val="001D51BA"/>
    <w:rsid w:val="001D6342"/>
    <w:rsid w:val="001D6D53"/>
    <w:rsid w:val="001E46CA"/>
    <w:rsid w:val="001E58E2"/>
    <w:rsid w:val="001E7AED"/>
    <w:rsid w:val="001F3916"/>
    <w:rsid w:val="001F54C5"/>
    <w:rsid w:val="001F58BF"/>
    <w:rsid w:val="001F662C"/>
    <w:rsid w:val="001F7074"/>
    <w:rsid w:val="00200490"/>
    <w:rsid w:val="00201F3A"/>
    <w:rsid w:val="00203F96"/>
    <w:rsid w:val="00204DC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EB7"/>
    <w:rsid w:val="00296227"/>
    <w:rsid w:val="00296F44"/>
    <w:rsid w:val="0029777D"/>
    <w:rsid w:val="002A055E"/>
    <w:rsid w:val="002A1D4E"/>
    <w:rsid w:val="002A2869"/>
    <w:rsid w:val="002A3C85"/>
    <w:rsid w:val="002B24D6"/>
    <w:rsid w:val="002C41E6"/>
    <w:rsid w:val="002C6F31"/>
    <w:rsid w:val="002D071A"/>
    <w:rsid w:val="002D2267"/>
    <w:rsid w:val="002D34B2"/>
    <w:rsid w:val="002D7637"/>
    <w:rsid w:val="002D77AF"/>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3910"/>
    <w:rsid w:val="003742AC"/>
    <w:rsid w:val="00377CE1"/>
    <w:rsid w:val="00385BF0"/>
    <w:rsid w:val="003939FF"/>
    <w:rsid w:val="003A2223"/>
    <w:rsid w:val="003A2A0F"/>
    <w:rsid w:val="003A45A1"/>
    <w:rsid w:val="003A5227"/>
    <w:rsid w:val="003A5B0A"/>
    <w:rsid w:val="003A6BAC"/>
    <w:rsid w:val="003A7EF3"/>
    <w:rsid w:val="003B159C"/>
    <w:rsid w:val="003B369F"/>
    <w:rsid w:val="003B36A3"/>
    <w:rsid w:val="003B7FE5"/>
    <w:rsid w:val="003C11C8"/>
    <w:rsid w:val="003C18FA"/>
    <w:rsid w:val="003C2702"/>
    <w:rsid w:val="003C4C81"/>
    <w:rsid w:val="003C7806"/>
    <w:rsid w:val="003D109F"/>
    <w:rsid w:val="003D2478"/>
    <w:rsid w:val="003D2FC4"/>
    <w:rsid w:val="003D3C45"/>
    <w:rsid w:val="003D5B1F"/>
    <w:rsid w:val="003E15FA"/>
    <w:rsid w:val="003E55E4"/>
    <w:rsid w:val="003E60E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7464"/>
    <w:rsid w:val="00421105"/>
    <w:rsid w:val="00423DCB"/>
    <w:rsid w:val="004242F4"/>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6252"/>
    <w:rsid w:val="00477768"/>
    <w:rsid w:val="00492BC5"/>
    <w:rsid w:val="004964F1"/>
    <w:rsid w:val="004A16BC"/>
    <w:rsid w:val="004A2B94"/>
    <w:rsid w:val="004A2EA2"/>
    <w:rsid w:val="004B3DDE"/>
    <w:rsid w:val="004B7C0C"/>
    <w:rsid w:val="004C3898"/>
    <w:rsid w:val="004D36B1"/>
    <w:rsid w:val="004D7EBD"/>
    <w:rsid w:val="004E2680"/>
    <w:rsid w:val="004E28F9"/>
    <w:rsid w:val="004E462E"/>
    <w:rsid w:val="004E56DC"/>
    <w:rsid w:val="004E76F4"/>
    <w:rsid w:val="004F0B4E"/>
    <w:rsid w:val="004F0B6C"/>
    <w:rsid w:val="004F2078"/>
    <w:rsid w:val="004F4DA3"/>
    <w:rsid w:val="00502913"/>
    <w:rsid w:val="00506557"/>
    <w:rsid w:val="0050677A"/>
    <w:rsid w:val="005108D8"/>
    <w:rsid w:val="005116F9"/>
    <w:rsid w:val="00512EAE"/>
    <w:rsid w:val="005153A7"/>
    <w:rsid w:val="005219CF"/>
    <w:rsid w:val="00531534"/>
    <w:rsid w:val="005338D0"/>
    <w:rsid w:val="00534B59"/>
    <w:rsid w:val="00536759"/>
    <w:rsid w:val="00537C62"/>
    <w:rsid w:val="00546970"/>
    <w:rsid w:val="00554E19"/>
    <w:rsid w:val="005575AC"/>
    <w:rsid w:val="0056121F"/>
    <w:rsid w:val="00572505"/>
    <w:rsid w:val="00580202"/>
    <w:rsid w:val="005811BC"/>
    <w:rsid w:val="00582809"/>
    <w:rsid w:val="0058798C"/>
    <w:rsid w:val="005900FA"/>
    <w:rsid w:val="005935A4"/>
    <w:rsid w:val="005948C2"/>
    <w:rsid w:val="00595DCA"/>
    <w:rsid w:val="0059779B"/>
    <w:rsid w:val="005A209A"/>
    <w:rsid w:val="005A2C72"/>
    <w:rsid w:val="005A662D"/>
    <w:rsid w:val="005B2C7B"/>
    <w:rsid w:val="005B35D7"/>
    <w:rsid w:val="005B392A"/>
    <w:rsid w:val="005B3AA3"/>
    <w:rsid w:val="005B6F83"/>
    <w:rsid w:val="005C74FB"/>
    <w:rsid w:val="005D1602"/>
    <w:rsid w:val="005D2E77"/>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5C92"/>
    <w:rsid w:val="00796231"/>
    <w:rsid w:val="007A1CB3"/>
    <w:rsid w:val="007A306F"/>
    <w:rsid w:val="007A43A6"/>
    <w:rsid w:val="007A58A6"/>
    <w:rsid w:val="007A7316"/>
    <w:rsid w:val="007B06F9"/>
    <w:rsid w:val="007B3D2D"/>
    <w:rsid w:val="007B50AE"/>
    <w:rsid w:val="007B51DF"/>
    <w:rsid w:val="007C05DD"/>
    <w:rsid w:val="007C3D18"/>
    <w:rsid w:val="007C60BF"/>
    <w:rsid w:val="007C6A07"/>
    <w:rsid w:val="007C75A1"/>
    <w:rsid w:val="007C77A5"/>
    <w:rsid w:val="007D04E5"/>
    <w:rsid w:val="007D5901"/>
    <w:rsid w:val="007D61F5"/>
    <w:rsid w:val="007D7526"/>
    <w:rsid w:val="007E4610"/>
    <w:rsid w:val="007E4715"/>
    <w:rsid w:val="007E505B"/>
    <w:rsid w:val="007E7091"/>
    <w:rsid w:val="00803FAE"/>
    <w:rsid w:val="0080605F"/>
    <w:rsid w:val="00806A70"/>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94A88"/>
    <w:rsid w:val="00895386"/>
    <w:rsid w:val="008A1CE4"/>
    <w:rsid w:val="008A21FF"/>
    <w:rsid w:val="008A2CE2"/>
    <w:rsid w:val="008A30AC"/>
    <w:rsid w:val="008A44B8"/>
    <w:rsid w:val="008A4E9E"/>
    <w:rsid w:val="008A51A8"/>
    <w:rsid w:val="008A54C7"/>
    <w:rsid w:val="008A5605"/>
    <w:rsid w:val="008A77D8"/>
    <w:rsid w:val="008B0483"/>
    <w:rsid w:val="008B120C"/>
    <w:rsid w:val="008B23D2"/>
    <w:rsid w:val="008B51A0"/>
    <w:rsid w:val="008B592A"/>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2350"/>
    <w:rsid w:val="0090336B"/>
    <w:rsid w:val="009053AA"/>
    <w:rsid w:val="00906939"/>
    <w:rsid w:val="00907D11"/>
    <w:rsid w:val="00910B7D"/>
    <w:rsid w:val="00911DFB"/>
    <w:rsid w:val="009139D9"/>
    <w:rsid w:val="00914AD8"/>
    <w:rsid w:val="00916079"/>
    <w:rsid w:val="00917CE9"/>
    <w:rsid w:val="00920BF2"/>
    <w:rsid w:val="00922010"/>
    <w:rsid w:val="00931BD9"/>
    <w:rsid w:val="0093242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5DD7"/>
    <w:rsid w:val="009B7E87"/>
    <w:rsid w:val="009C403E"/>
    <w:rsid w:val="009C56A2"/>
    <w:rsid w:val="009D4FF0"/>
    <w:rsid w:val="009D703C"/>
    <w:rsid w:val="009D718F"/>
    <w:rsid w:val="009E068F"/>
    <w:rsid w:val="009E14E0"/>
    <w:rsid w:val="009E35DB"/>
    <w:rsid w:val="009E47A3"/>
    <w:rsid w:val="009F08F3"/>
    <w:rsid w:val="009F0A5A"/>
    <w:rsid w:val="009F1ECE"/>
    <w:rsid w:val="009F344F"/>
    <w:rsid w:val="00A048A8"/>
    <w:rsid w:val="00A04F49"/>
    <w:rsid w:val="00A07855"/>
    <w:rsid w:val="00A120F2"/>
    <w:rsid w:val="00A13E54"/>
    <w:rsid w:val="00A13F0D"/>
    <w:rsid w:val="00A17F63"/>
    <w:rsid w:val="00A2193B"/>
    <w:rsid w:val="00A22278"/>
    <w:rsid w:val="00A2351A"/>
    <w:rsid w:val="00A264A9"/>
    <w:rsid w:val="00A27785"/>
    <w:rsid w:val="00A30187"/>
    <w:rsid w:val="00A305D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296B"/>
    <w:rsid w:val="00A92879"/>
    <w:rsid w:val="00A9442A"/>
    <w:rsid w:val="00A97E2E"/>
    <w:rsid w:val="00AA016F"/>
    <w:rsid w:val="00AA1ED6"/>
    <w:rsid w:val="00AA406B"/>
    <w:rsid w:val="00AA51D6"/>
    <w:rsid w:val="00AB0BC8"/>
    <w:rsid w:val="00AB11CA"/>
    <w:rsid w:val="00AB14D9"/>
    <w:rsid w:val="00AB4AB8"/>
    <w:rsid w:val="00AB655E"/>
    <w:rsid w:val="00AB72DE"/>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B006FE"/>
    <w:rsid w:val="00B007CB"/>
    <w:rsid w:val="00B02AA9"/>
    <w:rsid w:val="00B02FA3"/>
    <w:rsid w:val="00B05084"/>
    <w:rsid w:val="00B157F9"/>
    <w:rsid w:val="00B167F1"/>
    <w:rsid w:val="00B20256"/>
    <w:rsid w:val="00B20D09"/>
    <w:rsid w:val="00B25750"/>
    <w:rsid w:val="00B2763F"/>
    <w:rsid w:val="00B27AAC"/>
    <w:rsid w:val="00B30929"/>
    <w:rsid w:val="00B372AA"/>
    <w:rsid w:val="00B40445"/>
    <w:rsid w:val="00B4149F"/>
    <w:rsid w:val="00B41888"/>
    <w:rsid w:val="00B42BDB"/>
    <w:rsid w:val="00B45A52"/>
    <w:rsid w:val="00B46175"/>
    <w:rsid w:val="00B62AAA"/>
    <w:rsid w:val="00B664C7"/>
    <w:rsid w:val="00B66EFE"/>
    <w:rsid w:val="00B72B0C"/>
    <w:rsid w:val="00B739F6"/>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266"/>
    <w:rsid w:val="00C26FAA"/>
    <w:rsid w:val="00C279B5"/>
    <w:rsid w:val="00C27C45"/>
    <w:rsid w:val="00C3719D"/>
    <w:rsid w:val="00C54995"/>
    <w:rsid w:val="00C54D41"/>
    <w:rsid w:val="00C60783"/>
    <w:rsid w:val="00C628DF"/>
    <w:rsid w:val="00C64672"/>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5007"/>
    <w:rsid w:val="00DA5417"/>
    <w:rsid w:val="00DA56E8"/>
    <w:rsid w:val="00DB0A9F"/>
    <w:rsid w:val="00DB377D"/>
    <w:rsid w:val="00DC2D36"/>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4A66"/>
    <w:rsid w:val="00E25A33"/>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47C5"/>
    <w:rsid w:val="00E85928"/>
    <w:rsid w:val="00E87822"/>
    <w:rsid w:val="00E90395"/>
    <w:rsid w:val="00E90E49"/>
    <w:rsid w:val="00E917F9"/>
    <w:rsid w:val="00E9291C"/>
    <w:rsid w:val="00E93FFE"/>
    <w:rsid w:val="00E94F8A"/>
    <w:rsid w:val="00EA7A41"/>
    <w:rsid w:val="00EB077B"/>
    <w:rsid w:val="00EB2866"/>
    <w:rsid w:val="00EB4EA2"/>
    <w:rsid w:val="00EC27C6"/>
    <w:rsid w:val="00EC4207"/>
    <w:rsid w:val="00EC5653"/>
    <w:rsid w:val="00EC60B5"/>
    <w:rsid w:val="00EC648C"/>
    <w:rsid w:val="00EC71CE"/>
    <w:rsid w:val="00ED1006"/>
    <w:rsid w:val="00EF18FE"/>
    <w:rsid w:val="00EF4158"/>
    <w:rsid w:val="00EF5787"/>
    <w:rsid w:val="00EF60D0"/>
    <w:rsid w:val="00F0528D"/>
    <w:rsid w:val="00F052FD"/>
    <w:rsid w:val="00F06C67"/>
    <w:rsid w:val="00F06DFD"/>
    <w:rsid w:val="00F071D1"/>
    <w:rsid w:val="00F07533"/>
    <w:rsid w:val="00F10629"/>
    <w:rsid w:val="00F15FA5"/>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45A5"/>
    <w:rsid w:val="00FF5C91"/>
    <w:rsid w:val="00FF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E2BCABB-69C1-4636-98EC-04317B6E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9B5DD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3168604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2_RL2/TSRG2_98/Docs//R2-170408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5NUHHDQN7SK2-1-176738</_dlc_DocId>
    <TaxCatchAll xmlns="08b2df90-05d3-4030-90d4-c9feeb4a1cd9">
      <Value>10</Value>
      <Value>9</Value>
      <Value>8</Value>
      <Value>3</Value>
      <Value>1</Value>
    </TaxCatchAll>
    <_dlc_DocIdUrl xmlns="08b2df90-05d3-4030-90d4-c9feeb4a1cd9">
      <Url>https://ericoll.internal.ericsson.com/sites/star/_layouts/DocIdRedir.aspx?ID=5NUHHDQN7SK2-1-176738</Url>
      <Description>5NUHHDQN7SK2-1-176738</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1307B-5F24-4317-BD15-C993D1054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6651D87B-6E56-482A-B4E7-1C90846A0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2327</Words>
  <Characters>13269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4</cp:revision>
  <cp:lastPrinted>2008-01-31T06:09:00Z</cp:lastPrinted>
  <dcterms:created xsi:type="dcterms:W3CDTF">2017-06-16T22:10:00Z</dcterms:created>
  <dcterms:modified xsi:type="dcterms:W3CDTF">2017-06-16T22:10:00Z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582261d6-06f4-4e40-8568-256f1d249311</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